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AFA7E">
      <w:pPr>
        <w:jc w:val="center"/>
        <w:rPr>
          <w:rFonts w:ascii="黑体" w:hAnsi="黑体" w:eastAsia="黑体" w:cs="Times New Roman"/>
          <w:b/>
          <w:bCs/>
          <w:sz w:val="28"/>
          <w:szCs w:val="28"/>
        </w:rPr>
      </w:pPr>
      <w:bookmarkStart w:id="0" w:name="_Toc163474055"/>
      <w:r>
        <w:rPr>
          <w:rFonts w:hint="eastAsia" w:ascii="黑体" w:hAnsi="黑体" w:eastAsia="黑体" w:cs="Times New Roman"/>
          <w:b/>
          <w:bCs/>
          <w:sz w:val="28"/>
          <w:szCs w:val="28"/>
        </w:rPr>
        <w:t>2026年多媒体教室教学设备更新项目商务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</w:p>
    <w:p w14:paraId="42C88871">
      <w:pPr>
        <w:jc w:val="center"/>
        <w:rPr>
          <w:rFonts w:ascii="黑体" w:hAnsi="黑体" w:eastAsia="黑体" w:cs="Times New Roman"/>
          <w:b/>
          <w:bCs/>
          <w:sz w:val="28"/>
          <w:szCs w:val="28"/>
        </w:rPr>
      </w:pPr>
    </w:p>
    <w:p w14:paraId="22273AA2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1、交货要求和付款方式</w:t>
      </w:r>
    </w:p>
    <w:p w14:paraId="56011BB0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1.1交货时间：合同签订后（接到甲方书面通知起）30个工作日内交货，并安装调试合格。</w:t>
      </w:r>
    </w:p>
    <w:p w14:paraId="039009AE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1.2交货地点：</w:t>
      </w:r>
    </w:p>
    <w:tbl>
      <w:tblPr>
        <w:tblStyle w:val="14"/>
        <w:tblW w:w="8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2387"/>
        <w:gridCol w:w="5487"/>
      </w:tblGrid>
      <w:tr w14:paraId="705DA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62" w:type="dxa"/>
            <w:vAlign w:val="center"/>
          </w:tcPr>
          <w:p w14:paraId="47D00A6A"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序号</w:t>
            </w:r>
          </w:p>
        </w:tc>
        <w:tc>
          <w:tcPr>
            <w:tcW w:w="2387" w:type="dxa"/>
            <w:vAlign w:val="center"/>
          </w:tcPr>
          <w:p w14:paraId="132C52D0"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设备名称</w:t>
            </w:r>
          </w:p>
        </w:tc>
        <w:tc>
          <w:tcPr>
            <w:tcW w:w="5487" w:type="dxa"/>
            <w:vAlign w:val="center"/>
          </w:tcPr>
          <w:p w14:paraId="2671A1EC"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交货地点</w:t>
            </w:r>
          </w:p>
        </w:tc>
      </w:tr>
      <w:tr w14:paraId="5A1EC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962" w:type="dxa"/>
            <w:vAlign w:val="center"/>
          </w:tcPr>
          <w:p w14:paraId="53335C1D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2387" w:type="dxa"/>
            <w:vAlign w:val="center"/>
          </w:tcPr>
          <w:p w14:paraId="746195AE">
            <w:pPr>
              <w:spacing w:line="360" w:lineRule="auto"/>
              <w:rPr>
                <w:rFonts w:hint="eastAsia" w:ascii="宋体" w:hAnsi="宋体" w:cs="宋体" w:eastAsiaTheme="minorEastAsia"/>
                <w:szCs w:val="21"/>
                <w:lang w:eastAsia="zh-CN"/>
              </w:rPr>
            </w:pPr>
            <w:r>
              <w:rPr>
                <w:rFonts w:hint="eastAsia"/>
              </w:rPr>
              <w:t>大屏幕交互式智能教学终端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98英寸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5487" w:type="dxa"/>
            <w:vAlign w:val="center"/>
          </w:tcPr>
          <w:p w14:paraId="5EB8298C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阶梯教室46间、长度超过11.5米的平面教室16间</w:t>
            </w:r>
          </w:p>
        </w:tc>
      </w:tr>
      <w:tr w14:paraId="69C41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62" w:type="dxa"/>
            <w:vAlign w:val="center"/>
          </w:tcPr>
          <w:p w14:paraId="6A61BBB1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2387" w:type="dxa"/>
            <w:vAlign w:val="center"/>
          </w:tcPr>
          <w:p w14:paraId="426A780D">
            <w:pPr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/>
              </w:rPr>
              <w:t>辅助显示屏</w:t>
            </w:r>
          </w:p>
        </w:tc>
        <w:tc>
          <w:tcPr>
            <w:tcW w:w="5487" w:type="dxa"/>
            <w:vAlign w:val="center"/>
          </w:tcPr>
          <w:p w14:paraId="098C632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阶梯教室46间</w:t>
            </w:r>
          </w:p>
        </w:tc>
      </w:tr>
      <w:tr w14:paraId="5877D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62" w:type="dxa"/>
            <w:vAlign w:val="center"/>
          </w:tcPr>
          <w:p w14:paraId="2383F604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2387" w:type="dxa"/>
            <w:vAlign w:val="center"/>
          </w:tcPr>
          <w:p w14:paraId="1881BE90"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/>
              </w:rPr>
              <w:t>大屏幕交互式智能教学终端（</w:t>
            </w:r>
            <w:r>
              <w:rPr>
                <w:rFonts w:hint="eastAsia"/>
                <w:lang w:val="en-US" w:eastAsia="zh-CN"/>
              </w:rPr>
              <w:t>86英寸</w:t>
            </w:r>
            <w:r>
              <w:rPr>
                <w:rFonts w:hint="eastAsia"/>
              </w:rPr>
              <w:t>三联屏）</w:t>
            </w:r>
          </w:p>
        </w:tc>
        <w:tc>
          <w:tcPr>
            <w:tcW w:w="5487" w:type="dxa"/>
            <w:vAlign w:val="center"/>
          </w:tcPr>
          <w:p w14:paraId="44785C4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长度10米左右、宽度超过12米的平面教室12间</w:t>
            </w:r>
          </w:p>
        </w:tc>
      </w:tr>
      <w:tr w14:paraId="5840C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62" w:type="dxa"/>
            <w:vAlign w:val="center"/>
          </w:tcPr>
          <w:p w14:paraId="08839761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2387" w:type="dxa"/>
            <w:vAlign w:val="center"/>
          </w:tcPr>
          <w:p w14:paraId="3B5307A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/>
              </w:rPr>
              <w:t>大屏幕交互式智能教学终端（</w:t>
            </w:r>
            <w:r>
              <w:rPr>
                <w:rFonts w:hint="eastAsia"/>
                <w:lang w:val="en-US" w:eastAsia="zh-CN"/>
              </w:rPr>
              <w:t>86英寸</w:t>
            </w:r>
            <w:r>
              <w:rPr>
                <w:rFonts w:hint="eastAsia"/>
              </w:rPr>
              <w:t>双联屏）</w:t>
            </w:r>
          </w:p>
        </w:tc>
        <w:tc>
          <w:tcPr>
            <w:tcW w:w="5487" w:type="dxa"/>
            <w:vAlign w:val="center"/>
          </w:tcPr>
          <w:p w14:paraId="7B5A74D3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长度10米左右、宽度也为10米左右的平面教室2间</w:t>
            </w:r>
          </w:p>
        </w:tc>
      </w:tr>
      <w:tr w14:paraId="403BB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62" w:type="dxa"/>
            <w:vAlign w:val="center"/>
          </w:tcPr>
          <w:p w14:paraId="475D9EDB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2387" w:type="dxa"/>
            <w:vAlign w:val="center"/>
          </w:tcPr>
          <w:p w14:paraId="6DA4230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升降讲台</w:t>
            </w:r>
          </w:p>
        </w:tc>
        <w:tc>
          <w:tcPr>
            <w:tcW w:w="5487" w:type="dxa"/>
            <w:vAlign w:val="center"/>
          </w:tcPr>
          <w:p w14:paraId="4CDFC95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阶梯教室46间、30间平面教室</w:t>
            </w:r>
          </w:p>
        </w:tc>
      </w:tr>
      <w:tr w14:paraId="03A6D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62" w:type="dxa"/>
            <w:vAlign w:val="center"/>
          </w:tcPr>
          <w:p w14:paraId="4E1BC21D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2387" w:type="dxa"/>
            <w:vAlign w:val="center"/>
          </w:tcPr>
          <w:p w14:paraId="19F2AA9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/>
              </w:rPr>
              <w:t>教室设备拆除与安装</w:t>
            </w:r>
          </w:p>
        </w:tc>
        <w:tc>
          <w:tcPr>
            <w:tcW w:w="5487" w:type="dxa"/>
            <w:vAlign w:val="center"/>
          </w:tcPr>
          <w:p w14:paraId="0D86B3A7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各校区公共多媒体教室</w:t>
            </w:r>
          </w:p>
        </w:tc>
      </w:tr>
      <w:tr w14:paraId="6481D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962" w:type="dxa"/>
            <w:vAlign w:val="center"/>
          </w:tcPr>
          <w:p w14:paraId="328E149C">
            <w:pPr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2387" w:type="dxa"/>
            <w:vAlign w:val="center"/>
          </w:tcPr>
          <w:p w14:paraId="0FB97838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/>
              </w:rPr>
              <w:t>辅材</w:t>
            </w:r>
          </w:p>
        </w:tc>
        <w:tc>
          <w:tcPr>
            <w:tcW w:w="5487" w:type="dxa"/>
            <w:vAlign w:val="center"/>
          </w:tcPr>
          <w:p w14:paraId="5945C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阶梯教室46间、30间平面教室</w:t>
            </w:r>
          </w:p>
        </w:tc>
      </w:tr>
    </w:tbl>
    <w:p w14:paraId="6491BB20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1.3付款要求：合同签订后15个工作日内，甲方支付合同金额30%作预付款。项目整体验收合格后20个工作日内，乙方将合同金额的5%付至甲方指定的账号作为项目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履约保证金</w:t>
      </w:r>
      <w:r>
        <w:rPr>
          <w:rFonts w:hint="eastAsia" w:ascii="Times New Roman" w:hAnsi="Times New Roman" w:eastAsia="宋体" w:cs="Times New Roman"/>
          <w:szCs w:val="21"/>
        </w:rPr>
        <w:t>。甲方向乙方一次性支付70%合同金额款，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履约保证金</w:t>
      </w:r>
      <w:r>
        <w:rPr>
          <w:rFonts w:hint="eastAsia" w:ascii="Times New Roman" w:hAnsi="Times New Roman" w:eastAsia="宋体" w:cs="Times New Roman"/>
          <w:szCs w:val="21"/>
        </w:rPr>
        <w:t>验收合格一年期满后一次性无息退还给乙方。甲方凭乙方提供的等额、法定增值税发票，向乙方付款。乙方延期提供发票，则甲方付款时间相应顺延。</w:t>
      </w:r>
    </w:p>
    <w:p w14:paraId="45C4A1A7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2、验收标准、质量保证</w:t>
      </w:r>
    </w:p>
    <w:p w14:paraId="237A5425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2.1投标时，备注所投设备产品出厂时铭牌标注的实际名称。中标方提供的产品应是原装正品，符合国家质量检测标准，具有出厂证明文件或国家鉴定合格证明文件。</w:t>
      </w:r>
    </w:p>
    <w:p w14:paraId="26FAC611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2.2验收标准：原厂原包装，包装完好，设备外观无损；满足招标文件要求，符合用户使用的实际需求；设备清单与投标文件一致，技术参数按投标文件对应；实际使用后，运行稳定。</w:t>
      </w:r>
    </w:p>
    <w:p w14:paraId="7D8D3D9C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2.3项目验收国家有强制性规定的，按国家规定执行。验收过程中产生纠纷的，由质量技术监督部门认定的检测机构检测，如为中标方原因造成的，由中标方承担检测费用；否则，由采购人承担。项目验收不合格，由中标方返工直至合格，有关返工、再行验收，以及给采购人造成的损失等费用由中标方承担。连续两次项目验收不合格的，采购人可终止合同，另行按规定选择其他供应商采购，由此带来的一切损失由中标方承担。</w:t>
      </w:r>
    </w:p>
    <w:p w14:paraId="2E8175CB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2.4免费质保期：所有软硬件设备（含软件系统）免费质保六年，中标方承诺的质保期长于招标文件规定时，以中标方的投标文件为准。超出生产厂家正常保修范围的，中标方需向生产厂家单独购买的，不能在投标报价中单独列支。如生产厂家质保期优于招标文件规定的，按生产厂家的质保承诺提供质保服务。</w:t>
      </w:r>
    </w:p>
    <w:p w14:paraId="3790CAC8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2.5质保内免费上门保修更换，质保期间内不收取维修费、零配件和材料费，质保期自设备安装结束，验收合格后正常运行时开始计算。超出免费质保期后，乙方支持终身维修，承诺维修时只收取部件的实际成本费。</w:t>
      </w:r>
    </w:p>
    <w:p w14:paraId="48C032EC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3、售后服务</w:t>
      </w:r>
    </w:p>
    <w:p w14:paraId="106E6087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3.1维护要求：提供定期维护计划、对采购人不定期维护要求的响应措施、对用户修改设计要求的响应措施。</w:t>
      </w:r>
    </w:p>
    <w:p w14:paraId="7579D7E2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3.2服务响应时间要求：提供7×24小时的技术咨询服务，敏感时期、重大节假日提供技术人员值守服务；提供7×24小时的故障服务受理，对重大故障提供7×24小时的现场支援，一般故障提供5×8小时/2小时内现场支援，提出解决方案，并于2小时内修复，若现场不能修复应提供同等性能备用设备。</w:t>
      </w:r>
    </w:p>
    <w:p w14:paraId="5E5BE5D2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3.3质保期内出现任何质量问题（人为破坏或自然灾害等不可抗力除外），由中标方负责全免费（免全部工时费、材料费、管理费、财务费等）更换或维修。质保期满后，无论采购人是否另行选择维保供应商，中标方应及时优惠提供所需的备品备件。</w:t>
      </w:r>
    </w:p>
    <w:p w14:paraId="068C98B6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3.4同批设备中，若同一台设备类似故障发生两次以上，或者多台设备出现大面积相同故障现象，无条件免费更换涉及的整机。</w:t>
      </w:r>
    </w:p>
    <w:p w14:paraId="5ACB356A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3.5配件及耗材要求：所有新设备、利旧设备安装时除原机配件以外，如还需辅材配件及耗材，由中标方免费提供。</w:t>
      </w:r>
    </w:p>
    <w:p w14:paraId="40CCFF4C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color w:val="FF0000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3.6必须具备良好的服务能力。服务要求：接到报修，要求维修人员 2 小时以内解决故障。如因故不能按期完成保修任务时，应事先与用户协商征得用户同意，并临时提供同等性能设备替换，不能影响学校教学工作，否则有权追究违约责任。每学期需对设备系统进行例行检修保养三次（学期开始，期中，期末），后期若其他多媒体设备改造项目中涉及安装调试问题，本次中标公司需免费协助支持。</w:t>
      </w:r>
    </w:p>
    <w:p w14:paraId="136ACDA5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4、安装调试</w:t>
      </w:r>
    </w:p>
    <w:p w14:paraId="035FEDEA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4.1 设备安装要求，按照国家相关行业规范标准进行免费安装，符合国家或行业质量检验标准，。</w:t>
      </w:r>
    </w:p>
    <w:p w14:paraId="1236DB9D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（1）中标方负责产品到实施地点的全部运输，包括装卸及现场搬运等，负责新购置和利旧设备（拆卸后待安装）在实施地点的保管，直至项目验收合格，中标方负责其派出的项目实施人员的人身意外保险。</w:t>
      </w:r>
    </w:p>
    <w:p w14:paraId="5D93D2F3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（2）安装工期：合同签订后（接到甲方书面通知起）30个工作日内交货，并安装调试合格。中标方须与用户充分沟通交货时间。交货地点：采购人指定地点。</w:t>
      </w:r>
    </w:p>
    <w:p w14:paraId="0B10A7F8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（3）安装要求：在安装新设备前，中标方须与用户充分沟通，对旧设备进行规范拆除，并负责搬运至指定地点，拆除的旧设备如果需要再次安装，须免费提供安装服务。</w:t>
      </w:r>
    </w:p>
    <w:p w14:paraId="190899F5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（4）设备调试：中标方负责实现采购设备与现有中控管理软件的对接。</w:t>
      </w:r>
    </w:p>
    <w:p w14:paraId="7A06FCB4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4.2 中标方须在项目实施过程中须加强项目实施的组织管理，所有人员应遵守学校有关规章制度。</w:t>
      </w:r>
    </w:p>
    <w:p w14:paraId="79198823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4.3 项目完成后，中标方应将项目有关的全部资料，包括但不限于产品资料、技术文档等移交采购人。</w:t>
      </w:r>
    </w:p>
    <w:p w14:paraId="6388A591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5、培训</w:t>
      </w:r>
    </w:p>
    <w:p w14:paraId="76C1EB69">
      <w:pPr>
        <w:shd w:val="clear" w:color="auto" w:fill="FFFFFF"/>
        <w:spacing w:line="360" w:lineRule="auto"/>
        <w:ind w:firstLine="420" w:firstLineChars="200"/>
        <w:jc w:val="left"/>
        <w:rPr>
          <w:rFonts w:ascii="楷体" w:hAnsi="楷体" w:eastAsia="楷体"/>
          <w:szCs w:val="24"/>
        </w:rPr>
      </w:pPr>
      <w:r>
        <w:rPr>
          <w:rFonts w:hint="eastAsia" w:ascii="Times New Roman" w:hAnsi="Times New Roman" w:eastAsia="宋体" w:cs="Times New Roman"/>
          <w:szCs w:val="21"/>
        </w:rPr>
        <w:t>5.1中标方应按负责进行必要的人员培训，达到熟练掌握产品性能、操作技能及排除常规故障的程度。</w:t>
      </w:r>
      <w:bookmarkStart w:id="1" w:name="_GoBack"/>
      <w:bookmarkEnd w:id="1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969265">
    <w:pPr>
      <w:snapToGrid w:val="0"/>
      <w:jc w:val="left"/>
      <w:rPr>
        <w:kern w:val="0"/>
        <w:sz w:val="18"/>
        <w:szCs w:val="18"/>
      </w:rPr>
    </w:pPr>
    <w:r>
      <w:rPr>
        <w:kern w:val="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7B59D">
                          <w:pPr>
                            <w:snapToGrid w:val="0"/>
                            <w:rPr>
                              <w:rFonts w:ascii="宋体" w:hAnsi="宋体"/>
                              <w:szCs w:val="21"/>
                            </w:rPr>
                          </w:pP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A67B59D">
                    <w:pPr>
                      <w:snapToGrid w:val="0"/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hint="eastAsia" w:ascii="宋体" w:hAnsi="宋体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Cs w:val="21"/>
                      </w:rPr>
                      <w:fldChar w:fldCharType="separate"/>
                    </w:r>
                    <w:r>
                      <w:rPr>
                        <w:rFonts w:ascii="宋体" w:hAnsi="宋体"/>
                        <w:szCs w:val="21"/>
                      </w:rPr>
                      <w:t>1</w:t>
                    </w:r>
                    <w:r>
                      <w:rPr>
                        <w:rFonts w:hint="eastAsia" w:ascii="宋体" w:hAnsi="宋体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93669">
    <w:pPr>
      <w:snapToGrid w:val="0"/>
      <w:jc w:val="center"/>
      <w:rPr>
        <w:kern w:val="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411EE9"/>
    <w:rsid w:val="0044695A"/>
    <w:rsid w:val="004F49AC"/>
    <w:rsid w:val="005B5099"/>
    <w:rsid w:val="006A55C9"/>
    <w:rsid w:val="006B12DF"/>
    <w:rsid w:val="00936F00"/>
    <w:rsid w:val="00B629F0"/>
    <w:rsid w:val="00CF7FFB"/>
    <w:rsid w:val="00E90C77"/>
    <w:rsid w:val="01C51963"/>
    <w:rsid w:val="03A72C72"/>
    <w:rsid w:val="260B04D9"/>
    <w:rsid w:val="27267653"/>
    <w:rsid w:val="274A6102"/>
    <w:rsid w:val="2FDE3140"/>
    <w:rsid w:val="30CF79C8"/>
    <w:rsid w:val="325D17E2"/>
    <w:rsid w:val="32C835E0"/>
    <w:rsid w:val="36276C79"/>
    <w:rsid w:val="4A2D159E"/>
    <w:rsid w:val="506F12EC"/>
    <w:rsid w:val="51241B09"/>
    <w:rsid w:val="61965C29"/>
    <w:rsid w:val="62052522"/>
    <w:rsid w:val="62C77201"/>
    <w:rsid w:val="638F2938"/>
    <w:rsid w:val="6FA34EC2"/>
    <w:rsid w:val="775E16CB"/>
    <w:rsid w:val="7FD1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unhideWhenUsed/>
    <w:qFormat/>
    <w:uiPriority w:val="0"/>
    <w:pPr>
      <w:jc w:val="left"/>
    </w:pPr>
    <w:rPr>
      <w:rFonts w:hint="eastAsia" w:ascii="Times New Roman" w:hAnsi="Times New Roman"/>
      <w:szCs w:val="24"/>
    </w:rPr>
  </w:style>
  <w:style w:type="paragraph" w:styleId="6">
    <w:name w:val="Body Text"/>
    <w:basedOn w:val="1"/>
    <w:link w:val="18"/>
    <w:unhideWhenUsed/>
    <w:qFormat/>
    <w:uiPriority w:val="99"/>
    <w:pPr>
      <w:spacing w:after="120"/>
    </w:pPr>
    <w:rPr>
      <w:rFonts w:hint="eastAsia"/>
    </w:rPr>
  </w:style>
  <w:style w:type="paragraph" w:styleId="7">
    <w:name w:val="Body Text Indent"/>
    <w:basedOn w:val="1"/>
    <w:unhideWhenUsed/>
    <w:qFormat/>
    <w:uiPriority w:val="99"/>
    <w:pPr>
      <w:spacing w:after="120"/>
      <w:ind w:left="420" w:leftChars="200"/>
    </w:pPr>
    <w:rPr>
      <w:rFonts w:ascii="宋体" w:cs="Times New Roman"/>
      <w:sz w:val="24"/>
      <w:szCs w:val="20"/>
    </w:rPr>
  </w:style>
  <w:style w:type="paragraph" w:styleId="8">
    <w:name w:val="Balloon Text"/>
    <w:basedOn w:val="1"/>
    <w:link w:val="27"/>
    <w:uiPriority w:val="0"/>
    <w:rPr>
      <w:sz w:val="18"/>
      <w:szCs w:val="18"/>
    </w:rPr>
  </w:style>
  <w:style w:type="paragraph" w:styleId="9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5"/>
    <w:next w:val="5"/>
    <w:link w:val="26"/>
    <w:uiPriority w:val="0"/>
    <w:rPr>
      <w:rFonts w:hint="default" w:asciiTheme="minorHAnsi" w:hAnsiTheme="minorHAnsi"/>
      <w:b/>
      <w:bCs/>
      <w:szCs w:val="22"/>
    </w:rPr>
  </w:style>
  <w:style w:type="paragraph" w:styleId="12">
    <w:name w:val="Body Text First Indent"/>
    <w:basedOn w:val="6"/>
    <w:link w:val="19"/>
    <w:unhideWhenUsed/>
    <w:qFormat/>
    <w:uiPriority w:val="99"/>
    <w:pPr>
      <w:ind w:firstLine="420" w:firstLineChars="100"/>
    </w:pPr>
  </w:style>
  <w:style w:type="table" w:styleId="14">
    <w:name w:val="Table Grid"/>
    <w:basedOn w:val="1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unhideWhenUsed/>
    <w:qFormat/>
    <w:uiPriority w:val="0"/>
    <w:rPr>
      <w:rFonts w:hint="default"/>
      <w:sz w:val="21"/>
      <w:szCs w:val="24"/>
    </w:rPr>
  </w:style>
  <w:style w:type="paragraph" w:customStyle="1" w:styleId="17">
    <w:name w:val="BodyText"/>
    <w:basedOn w:val="1"/>
    <w:unhideWhenUsed/>
    <w:qFormat/>
    <w:uiPriority w:val="0"/>
    <w:pPr>
      <w:spacing w:after="120"/>
    </w:pPr>
    <w:rPr>
      <w:rFonts w:hint="eastAsia"/>
      <w:sz w:val="20"/>
      <w:szCs w:val="24"/>
    </w:rPr>
  </w:style>
  <w:style w:type="character" w:customStyle="1" w:styleId="18">
    <w:name w:val="正文文本 字符"/>
    <w:basedOn w:val="15"/>
    <w:link w:val="6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19">
    <w:name w:val="正文首行缩进 字符"/>
    <w:basedOn w:val="18"/>
    <w:link w:val="12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20">
    <w:name w:val="批注文字 字符"/>
    <w:basedOn w:val="15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21">
    <w:name w:val="批注文字 字符1"/>
    <w:basedOn w:val="15"/>
    <w:link w:val="5"/>
    <w:unhideWhenUsed/>
    <w:qFormat/>
    <w:uiPriority w:val="0"/>
    <w:rPr>
      <w:rFonts w:hint="eastAsia" w:ascii="Times New Roman" w:hAnsi="Times New Roman" w:eastAsia="宋体" w:cs="Times New Roman"/>
      <w:kern w:val="2"/>
      <w:sz w:val="24"/>
      <w:szCs w:val="24"/>
    </w:rPr>
  </w:style>
  <w:style w:type="character" w:customStyle="1" w:styleId="22">
    <w:name w:val="页眉 字符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3">
    <w:name w:val="页脚 字符"/>
    <w:basedOn w:val="15"/>
    <w:link w:val="9"/>
    <w:qFormat/>
    <w:uiPriority w:val="0"/>
    <w:rPr>
      <w:kern w:val="2"/>
      <w:sz w:val="18"/>
      <w:szCs w:val="18"/>
    </w:rPr>
  </w:style>
  <w:style w:type="paragraph" w:customStyle="1" w:styleId="24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5">
    <w:name w:val="标题 1 字符"/>
    <w:link w:val="2"/>
    <w:qFormat/>
    <w:uiPriority w:val="0"/>
    <w:rPr>
      <w:b/>
      <w:bCs/>
      <w:sz w:val="24"/>
      <w:szCs w:val="20"/>
    </w:rPr>
  </w:style>
  <w:style w:type="character" w:customStyle="1" w:styleId="26">
    <w:name w:val="批注主题 字符"/>
    <w:basedOn w:val="21"/>
    <w:link w:val="11"/>
    <w:qFormat/>
    <w:uiPriority w:val="0"/>
    <w:rPr>
      <w:rFonts w:hint="eastAsia"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27">
    <w:name w:val="批注框文本 字符"/>
    <w:basedOn w:val="15"/>
    <w:link w:val="8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e279debd-09ef-4e08-83d2-8436425ca969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70A2C0C4</paraID>
      <start>0</start>
      <end>2</end>
      <status>unmodified</status>
      <modifiedWord/>
      <trackRevisions>false</trackRevisions>
    </reviewItem>
    <reviewItem>
      <errorID>c6d6d5bb-2363-4f91-8b42-efb5ce605499</errorID>
      <errorWord>作</errorWord>
      <group>L1_Word</group>
      <groupName>字词问题</groupName>
      <ability>L2_Typo</ability>
      <abilityName>字词错误</abilityName>
      <candidateList>
        <item>作为</item>
      </candidateList>
      <explain>❶〈动〉当做：～罢论｜～无效｜我把游泳～锻炼身体的方法。❷〈介〉就人的某种身份或事物的某种性质来说：～一个学生，首先得把学习搞好｜～一部词典，必须有明确的编写宗旨。</explain>
      <paraID>537EC85B</paraID>
      <start>32</start>
      <end>33</end>
      <status>unmodified</status>
      <modifiedWord/>
      <trackRevisions>false</trackRevisions>
    </reviewItem>
    <reviewItem>
      <errorID>f8480459-05df-47ba-b5ac-b1f02208e351</errorID>
      <errorWord>%</errorWord>
      <group>L1_Word</group>
      <groupName>字词问题</groupName>
      <ability>L2_Typo</ability>
      <abilityName>字词错误</abilityName>
      <candidateList>
        <item>%支</item>
      </candidateList>
      <explain/>
      <paraID>537EC85B</paraID>
      <start>63</start>
      <end>64</end>
      <status>unmodified</status>
      <modifiedWord/>
      <trackRevisions>false</trackRevisions>
    </reviewItem>
    <reviewItem>
      <errorID>729b37cb-dce5-4a1b-93bc-a8802974f34c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10E7A4B1</paraID>
      <start>0</start>
      <end>2</end>
      <status>unmodified</status>
      <modifiedWord/>
      <trackRevisions>false</trackRevisions>
    </reviewItem>
    <reviewItem>
      <errorID>7c546f3f-c531-4b4e-bd94-7646be086df7</errorID>
      <errorWord>保</errorWord>
      <group>L1_Word</group>
      <groupName>字词问题</groupName>
      <ability>L2_Typo</ability>
      <abilityName>字词错误</abilityName>
      <candidateList>
        <item>保期</item>
      </candidateList>
      <explain/>
      <paraID> 755CC9E</paraID>
      <start>4</start>
      <end>5</end>
      <status>unmodified</status>
      <modifiedWord/>
      <trackRevisions>false</trackRevisions>
    </reviewItem>
    <reviewItem>
      <errorID>ed4ecc5a-2efa-446c-9278-f43a9b57a59e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7048192C</paraID>
      <start>0</start>
      <end>2</end>
      <status>unmodified</status>
      <modifiedWord/>
      <trackRevisions>false</trackRevisions>
    </reviewItem>
    <reviewItem>
      <errorID>a62c4459-3986-4000-a49a-2e19a8f76415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2F922A38</paraID>
      <start>0</start>
      <end>2</end>
      <status>unmodified</status>
      <modifiedWord/>
      <trackRevisions>false</trackRevisions>
    </reviewItem>
    <reviewItem>
      <errorID>eef007a6-e363-45df-8978-cba594f23770</errorID>
      <errorWord>范</errorWord>
      <group>L1_Word</group>
      <groupName>字词问题</groupName>
      <ability>L2_Typo</ability>
      <abilityName>字词错误</abilityName>
      <candidateList>
        <item>范和</item>
      </candidateList>
      <explain/>
      <paraID>715E106D</paraID>
      <start>20</start>
      <end>21</end>
      <status>unmodified</status>
      <modifiedWord/>
      <trackRevisions>false</trackRevisions>
    </reviewItem>
    <reviewItem>
      <errorID>22aaa276-79d7-42f1-812c-987419c4b9c3</errorID>
      <errorWord>，。</errorWord>
      <group>L1_Punc</group>
      <groupName>标点问题</groupName>
      <ability>L2_Punc</ability>
      <abilityName>标点符号检查</abilityName>
      <candidateList>
        <item>，</item>
      </candidateList>
      <explain/>
      <paraID>715E106D</paraID>
      <start>43</start>
      <end>45</end>
      <status>unmodified</status>
      <modifiedWord/>
      <trackRevisions>false</trackRevisions>
    </reviewItem>
    <reviewItem>
      <errorID>56ce9465-3b99-44cd-913e-8d1e27de7780</errorID>
      <errorWord>，</errorWord>
      <group>L1_Word</group>
      <groupName>字词问题</groupName>
      <ability>L2_Typo</ability>
      <abilityName>字词错误</abilityName>
      <candidateList>
        <item>，将</item>
      </candidateList>
      <explain/>
      <paraID>71A06FD2</paraID>
      <start>35</start>
      <end>36</end>
      <status>unmodified</status>
      <modifiedWord/>
      <trackRevisions>false</trackRevisions>
    </reviewItem>
    <reviewItem>
      <errorID>5d756cab-439a-4034-8a28-77058506e0f8</errorID>
      <errorWord>中须</errorWord>
      <group>L1_Word</group>
      <groupName>字词问题</groupName>
      <ability>L2_Typo</ability>
      <abilityName>字词错误</abilityName>
      <candidateList>
        <item>中</item>
      </candidateList>
      <explain>〈动〉❶正对上；恰好合上：～选｜猜～了｜三枪都打～了目标。❷受到；遭受：～毒｜～暑｜胳膊上～了一枪。</explain>
      <paraID> 60E38F2</paraID>
      <start>15</start>
      <end>17</end>
      <status>unmodified</status>
      <modifiedWord/>
      <trackRevisions>false</trackRevisions>
    </reviewItem>
    <reviewItem>
      <errorID>75e72a10-7759-48d7-880b-bc4e7c735453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7BE33152</paraID>
      <start>0</start>
      <end>2</end>
      <status>unmodified</status>
      <modifiedWord/>
      <trackRevisions>false</trackRevisions>
    </reviewItem>
    <reviewItem>
      <errorID>e6297509-63bd-43fb-81c5-fe9070b2da0a</errorID>
      <errorWord>分</errorWord>
      <group>L1_Word</group>
      <groupName>字词问题</groupName>
      <ability>L2_Typo</ability>
      <abilityName>字词错误</abilityName>
      <candidateList>
        <item>分以</item>
      </candidateList>
      <explain/>
      <paraID>3BE89260</paraID>
      <start>6</start>
      <end>7</end>
      <status>unmodified</status>
      <modifiedWord/>
      <trackRevisions>false</trackRevisions>
    </reviewItem>
    <reviewItem>
      <errorID>f3cd0858-2902-4121-afe3-d4484ca616f7</errorID>
      <errorWord>价格、</errorWord>
      <group>L1_Grammar</group>
      <groupName>语法问题</groupName>
      <ability>L2_Order</ability>
      <abilityName>语序不当</abilityName>
      <candidateList>
        <item>价格</item>
      </candidateList>
      <explain>句子可能没有遵循时空、逻辑顺序，或者介词、关联词等位置不当。</explain>
      <paraID>3BE89260</paraID>
      <start>27</start>
      <end>30</end>
      <status>unmodified</status>
      <modifiedWord/>
      <trackRevisions>false</trackRevisions>
    </reviewItem>
    <reviewItem>
      <errorID>9c3c67f6-9cb0-4af1-922f-d7602d318b24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510C0B58</paraID>
      <start>21</start>
      <end>22</end>
      <status>unmodified</status>
      <modifiedWord/>
      <trackRevisions>false</trackRevisions>
    </reviewItem>
    <reviewItem>
      <errorID>6ebfb48e-18d2-46fc-8c7d-3fa492e4a610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510C0B58</paraID>
      <start>25</start>
      <end>26</end>
      <status>unmodified</status>
      <modifiedWord/>
      <trackRevisions>false</trackRevisions>
    </reviewItem>
    <reviewItem>
      <errorID>d7415fb8-955f-4954-98b6-31cf7815f58d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 82DF36A</paraID>
      <start>6</start>
      <end>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C4BD67E-3ED8-4E90-875A-F2CC508073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3762</Words>
  <Characters>3872</Characters>
  <Lines>28</Lines>
  <Paragraphs>8</Paragraphs>
  <TotalTime>1</TotalTime>
  <ScaleCrop>false</ScaleCrop>
  <LinksUpToDate>false</LinksUpToDate>
  <CharactersWithSpaces>3877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2025-03-11T00:46:00Z</dcterms:created>
  <dc:creator>WangYing</dc:creator>
  <cp:lastModifiedBy>张帅磊</cp:lastModifiedBy>
  <dcterms:modified xsi:type="dcterms:W3CDTF">2026-04-03T07:23:52Z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4E13FEFD0A4144CCA11408CD9C1E71FC_13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