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9DD4D3">
      <w:pPr>
        <w:adjustRightInd w:val="0"/>
        <w:snapToGrid w:val="0"/>
        <w:spacing w:line="640" w:lineRule="exact"/>
        <w:jc w:val="center"/>
        <w:rPr>
          <w:rFonts w:ascii="黑体" w:hAnsi="黑体" w:eastAsia="黑体" w:cs="方正小标宋简体"/>
          <w:sz w:val="44"/>
          <w:szCs w:val="44"/>
          <w:highlight w:val="yellow"/>
        </w:rPr>
      </w:pPr>
      <w:r>
        <w:rPr>
          <w:rFonts w:hint="eastAsia" w:ascii="黑体" w:hAnsi="黑体" w:eastAsia="黑体" w:cs="方正小标宋简体"/>
          <w:sz w:val="44"/>
          <w:szCs w:val="44"/>
        </w:rPr>
        <w:t>云边端虚实融合具身机器人实验教学系统技术要求</w:t>
      </w:r>
    </w:p>
    <w:p w14:paraId="4BFA5AC6">
      <w:pPr>
        <w:tabs>
          <w:tab w:val="left" w:pos="0"/>
        </w:tabs>
        <w:adjustRightInd w:val="0"/>
        <w:snapToGrid w:val="0"/>
        <w:spacing w:line="560" w:lineRule="exact"/>
        <w:rPr>
          <w:rFonts w:ascii="黑体" w:hAnsi="黑体" w:eastAsia="黑体" w:cs="黑体"/>
          <w:bCs/>
          <w:sz w:val="32"/>
          <w:szCs w:val="32"/>
        </w:rPr>
      </w:pPr>
      <w:r>
        <w:rPr>
          <w:rFonts w:hint="eastAsia" w:ascii="黑体" w:hAnsi="黑体" w:eastAsia="黑体" w:cs="黑体"/>
          <w:bCs/>
          <w:sz w:val="32"/>
          <w:szCs w:val="32"/>
        </w:rPr>
        <w:t>一、采购内容</w:t>
      </w:r>
    </w:p>
    <w:p w14:paraId="5E7939A4">
      <w:pPr>
        <w:tabs>
          <w:tab w:val="left" w:pos="0"/>
        </w:tabs>
        <w:adjustRightInd w:val="0"/>
        <w:snapToGrid w:val="0"/>
        <w:spacing w:line="560" w:lineRule="exact"/>
        <w:rPr>
          <w:rFonts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（一）用途、功能和参数要求</w:t>
      </w:r>
    </w:p>
    <w:p w14:paraId="6BA52F01">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1.用途要求</w:t>
      </w:r>
    </w:p>
    <w:p w14:paraId="6FF56D11">
      <w:pPr>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本项目拟采购的云–边–端虚实融合具身机器人实验教学系统，主要用于构建面向自动化、人工智能、电子信息工程、电气工程及其自动化、计算机科学与技术等相关专业的综合实践教学平台。依托人形机器人、四足机器人、无人车、无人机、机械臂等具身智能载体，配合统一的软件平台与管控系统，满足课程中运动学建模、路径规划、导航与定位、多模态感知、智能控制等实验与实训教学需求，提升学生工程实践与系统集成能力。</w:t>
      </w:r>
    </w:p>
    <w:p w14:paraId="2722B51D">
      <w:pPr>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系统将用于搭建仿真与实机一体化的虚实融合实践环境，实现算法在虚拟环境中的建模、仿真与安全校验后，再迁移至实物平台进行验证与优化，形成“仿真预演—准入检查—实机验证—结果回放”的闭环教学模式。通过对人形、四足、无人车、无人机等多类型智能体的统一调度与协同控制，支撑多智能体编队、协同感知、任务分配与协同决策等综合训练，满足多专业交叉融合背景下对具身智能与智能机器人实践教学的需求。</w:t>
      </w:r>
    </w:p>
    <w:p w14:paraId="2AB70DBB">
      <w:pPr>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同时，系统将作为大学生创新创业训练计划、科研训练项目及各级各类机器人与人工智能竞赛的共用平台，为学生开展项目设计、算法创新和系统开发提供开放的软硬件环境，强化学生在真实或近真实工程场景下的问题分析与解决能力。设备亦将服务于教师在具身智能、多模态感知、机器人控制及大模型驱动任务规划等方向的科研探索，并支撑与企业开展联合研发、技术验证和工程案例教学，提升实验室开放共享水平和服务区域产业发展的能力。</w:t>
      </w:r>
    </w:p>
    <w:p w14:paraId="4A36272C">
      <w:pPr>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2.功能要求</w:t>
      </w:r>
    </w:p>
    <w:p w14:paraId="69C7E65A">
      <w:pPr>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本项目拟建设的云–边–端虚实融合具身机器人实验教学系统，应首先具备支撑多专业、多课程综合实践教学的功能。系统应能够围绕自动化、人工智能、电子信息工程、电气工程及其自动化、计算机科学与技术等相关专业的培养目标，提供从基础认知、原理验证到综合设计、工程实践的完整教学功能链条，实现对运动学建模、路径规划、导航与定位、多模态感知、智能控制、强化学习与策略部署等教学内容的覆盖，满足不同课程对实验项目层次化、递进式设置的需求。</w:t>
      </w:r>
    </w:p>
    <w:p w14:paraId="1AE75A0C">
      <w:pPr>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系统应具备虚实融合的一体化实践功能。要求能为学生提供统一的仿真环境与实物平台，支持在仿真环境中完成模型搭建、算法设计、参数调试与性能验证，并可将仿真结果无缝迁移至具身智能体平台进行实机运行，实现“仿真预演—准入检查—实机验证—过程记录—结果回放”的闭环教学流程。系统应支持关键过程数据、轨迹信息及实验结果的记录、回放与对比分析，便于教师开展讲评与学生进行自我反思，提高教学效果与实验安全性。</w:t>
      </w:r>
    </w:p>
    <w:p w14:paraId="28AAB8B1">
      <w:pPr>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系统应具备云–边–端协同的管理与控制功能。要求通过统一的平台对人形机器人、四足机器人、无人车、无人机、机械臂等多类型具身智能体以及相关传感器、边缘控制单元进行集中管理与任务调度，支持对多台设备运行状态的实时监控、任务下发、资源占用情况查询与运行日志管理。系统应能够面向班级教学场景，支持多学生终端的并行接入和分组实验，提供用户权限管理、实验项目管理、资源预约与排课管理等功能，以满足日常教学高并发、规范化管理的要求。</w:t>
      </w:r>
    </w:p>
    <w:p w14:paraId="0FB957CE">
      <w:pPr>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系统应具备多智能体协同与综合训练功能。要求在统一的软件平台下，支持多台不同类型具身智能体的协同作业，包括但不限于多机器人编队运动、协同感知与信息共享、任务分配与协同决策等综合训练场景。系统应支持典型的具身操作任务和空–地协同任务配置，能够通过可视化方式设计、配置与下发多智能体任务流程，使学生在真实或近真实环境中开展综合性、设计性与创新性实验。</w:t>
      </w:r>
    </w:p>
    <w:p w14:paraId="0B44861D">
      <w:pPr>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系统应具备良好的开放性与可扩展性功能。要求提供标准化的软件开发接口和二次开发环境，支持主流编程语言与主流机器人中间件的接入，使师生能够在平台上进行算法创新、应用开发与系统集成。系统应支持与校内现有计算资源、数据平台及相关教学管理系统的对接预留条件，便于后续根据学科发展和教学改革需求进行功能拓展与升级迭代。</w:t>
      </w:r>
    </w:p>
    <w:p w14:paraId="67F00FAA">
      <w:pPr>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系统应具备完善的安全防护与教学评价支撑功能。要求在设备层面具备急停、限速、区域防护等安全防护机制，在系统层面实现操作权限控制、操作日志记录与异常行为告警，确保实验教学过程安全可控。同时，系统应提供实验数据统计与学习过程记录功能，支持对学生实验完成情况、任务达成度等进行分析与导出，为课程考核、过程性评价和教学质量监控提供数据支撑。</w:t>
      </w:r>
    </w:p>
    <w:p w14:paraId="7F95E17E">
      <w:pPr>
        <w:adjustRightInd w:val="0"/>
        <w:snapToGrid w:val="0"/>
        <w:spacing w:line="560" w:lineRule="exact"/>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3.详细技术要求</w:t>
      </w:r>
    </w:p>
    <w:tbl>
      <w:tblPr>
        <w:tblStyle w:val="15"/>
        <w:tblW w:w="8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0"/>
        <w:gridCol w:w="6540"/>
      </w:tblGrid>
      <w:tr w14:paraId="7E4D1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jc w:val="center"/>
        </w:trPr>
        <w:tc>
          <w:tcPr>
            <w:tcW w:w="1520" w:type="dxa"/>
            <w:vAlign w:val="center"/>
          </w:tcPr>
          <w:p w14:paraId="63F1EED3">
            <w:pPr>
              <w:rPr>
                <w:sz w:val="28"/>
                <w:szCs w:val="28"/>
              </w:rPr>
            </w:pPr>
            <w:r>
              <w:rPr>
                <w:rFonts w:hint="eastAsia"/>
              </w:rPr>
              <w:t>标的物1：</w:t>
            </w:r>
            <w:r>
              <w:t>人形机器人</w:t>
            </w:r>
          </w:p>
        </w:tc>
        <w:tc>
          <w:tcPr>
            <w:tcW w:w="6540" w:type="dxa"/>
            <w:vAlign w:val="center"/>
          </w:tcPr>
          <w:p w14:paraId="63BD830D">
            <w:r>
              <w:rPr>
                <w:rFonts w:hint="eastAsia"/>
              </w:rPr>
              <w:t>一、硬件信息</w:t>
            </w:r>
          </w:p>
          <w:p w14:paraId="785967FB">
            <w:r>
              <w:t>1.高宽厚(站立):≥1200mm×430mm×200mm;</w:t>
            </w:r>
          </w:p>
          <w:p w14:paraId="18F6F55B">
            <w:r>
              <w:t>2.高宽厚(折叠):≥650mm×430mm×300mm;</w:t>
            </w:r>
          </w:p>
          <w:p w14:paraId="552F708F">
            <w:r>
              <w:t>3.带电池重量:≥30kg;</w:t>
            </w:r>
          </w:p>
          <w:p w14:paraId="17FE0940">
            <w:r>
              <w:t>4. 总自由度(关节电机):≥40，其中，单腿自由度≥6，腰部自由度≥3，单手臂自由度≥6，单五指灵巧手≥6;</w:t>
            </w:r>
          </w:p>
          <w:p w14:paraId="07B593ED">
            <w:r>
              <w:t>5.膝关节最大扭矩: ≥80N.m;</w:t>
            </w:r>
          </w:p>
          <w:p w14:paraId="5BF89D00">
            <w:r>
              <w:t>6.手臂最大负载≥3kg;</w:t>
            </w:r>
          </w:p>
          <w:p w14:paraId="6BABE1CA">
            <w:r>
              <w:t>7.小腿+大腿长度:≥0.5m;</w:t>
            </w:r>
          </w:p>
          <w:p w14:paraId="3C01E597">
            <w:r>
              <w:t>8.手臂臂展:≥0.4m;</w:t>
            </w:r>
          </w:p>
          <w:p w14:paraId="2FD19837">
            <w:r>
              <w:t>9. 关节运动空间:覆盖常见步态与上肢操作所需范围（例如：腰部Z轴关节约±155°、膝关节约0~165°、髋关节P约±154°、R约</w:t>
            </w:r>
            <w:r>
              <w:rPr>
                <w:rFonts w:hint="eastAsia" w:ascii="微软雅黑" w:hAnsi="微软雅黑" w:eastAsia="微软雅黑" w:cs="微软雅黑"/>
              </w:rPr>
              <w:t>−</w:t>
            </w:r>
            <w:r>
              <w:t>30~+170°、Y约±158°），不以单一角度组合为唯一条件。</w:t>
            </w:r>
          </w:p>
          <w:p w14:paraId="16C93EF7">
            <w:r>
              <w:t>10.全关节中空内走线;</w:t>
            </w:r>
          </w:p>
          <w:p w14:paraId="41813A0F">
            <w:r>
              <w:t>11.关节编码器: 高分辨率编码，并具备冗余。</w:t>
            </w:r>
          </w:p>
          <w:p w14:paraId="159D315C">
            <w:r>
              <w:t>12.感知传感器:深度相机+3D激光雷达;</w:t>
            </w:r>
          </w:p>
          <w:p w14:paraId="4A7B5D14">
            <w:r>
              <w:t>13.基础算力: ≥8核高性能CPU;</w:t>
            </w:r>
          </w:p>
          <w:p w14:paraId="79AEAD1E">
            <w:r>
              <w:t>14.具备算力模组，含AI算法及技术支持;</w:t>
            </w:r>
          </w:p>
          <w:p w14:paraId="3D344478">
            <w:r>
              <w:t>15.智能OTA升级:支持;</w:t>
            </w:r>
          </w:p>
          <w:p w14:paraId="19339114">
            <w:r>
              <w:t>16.电池支持快拆;</w:t>
            </w:r>
          </w:p>
          <w:p w14:paraId="6A516BCD">
            <w:r>
              <w:t>17.支持语音交互：包括语音识别、声源定位、语音控制、语音合成与播报等;</w:t>
            </w:r>
          </w:p>
          <w:p w14:paraId="50A198E0">
            <w:r>
              <w:t>18. 配置五指灵巧手一对（末端带触控）;</w:t>
            </w:r>
          </w:p>
          <w:p w14:paraId="62729773">
            <w:r>
              <w:rPr>
                <w:rFonts w:hint="eastAsia"/>
              </w:rPr>
              <w:t>二、二次开发支持</w:t>
            </w:r>
            <w:r>
              <w:t xml:space="preserve"> </w:t>
            </w:r>
          </w:p>
          <w:p w14:paraId="6128FAF4">
            <w:r>
              <w:t>1. 提供详细的用户使用、软件开发等手册，提供高层控制（如行走）功能的二次开发文档及例程，提供底层控制（电机的位置、速度和力矩）功能的二次开发文档及例程;</w:t>
            </w:r>
          </w:p>
          <w:p w14:paraId="7C305D38">
            <w:r>
              <w:t>2.提供运动控制的接口;</w:t>
            </w:r>
          </w:p>
          <w:p w14:paraId="4D818EB8">
            <w:r>
              <w:t>3.提供产学研赛合作支持，可兼容百度“飞桨”深度学习平台，可支持百度大脑AI Studio开发实训。</w:t>
            </w:r>
          </w:p>
        </w:tc>
      </w:tr>
      <w:tr w14:paraId="1F804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9" w:hRule="atLeast"/>
          <w:jc w:val="center"/>
        </w:trPr>
        <w:tc>
          <w:tcPr>
            <w:tcW w:w="1520" w:type="dxa"/>
            <w:vAlign w:val="center"/>
          </w:tcPr>
          <w:p w14:paraId="1334A5B2">
            <w:pPr>
              <w:rPr>
                <w:sz w:val="28"/>
                <w:szCs w:val="28"/>
              </w:rPr>
            </w:pPr>
            <w:r>
              <w:rPr>
                <w:rFonts w:hint="eastAsia"/>
              </w:rPr>
              <w:t>标的物2：</w:t>
            </w:r>
            <w:r>
              <w:t>四足机器人</w:t>
            </w:r>
          </w:p>
        </w:tc>
        <w:tc>
          <w:tcPr>
            <w:tcW w:w="6540" w:type="dxa"/>
            <w:vAlign w:val="center"/>
          </w:tcPr>
          <w:p w14:paraId="47F4D685">
            <w:r>
              <w:t>1、尺寸：≥70cm×30cm×40cm;</w:t>
            </w:r>
          </w:p>
          <w:p w14:paraId="16D685C9">
            <w:r>
              <w:t>2、整机重量：≥15kg（含电池）;</w:t>
            </w:r>
          </w:p>
          <w:p w14:paraId="3ED71EDA">
            <w:r>
              <w:t>3、载荷：≥8kg;</w:t>
            </w:r>
          </w:p>
          <w:p w14:paraId="5DC758D3">
            <w:r>
              <w:t>4、最大攀爬落差高度：≥16cm;</w:t>
            </w:r>
          </w:p>
          <w:p w14:paraId="43A7895E">
            <w:r>
              <w:t>5、最大攀爬斜坡角度：≥40°;</w:t>
            </w:r>
          </w:p>
          <w:p w14:paraId="0D4DB883">
            <w:r>
              <w:t>6、关节走线与散热：内走线；关节具备有效散热/温控保护措施;</w:t>
            </w:r>
          </w:p>
          <w:p w14:paraId="79AC3980">
            <w:r>
              <w:t>7、超广角3D激光雷达具备探物避障功能，广角高清相机;</w:t>
            </w:r>
          </w:p>
          <w:p w14:paraId="5F26E161">
            <w:r>
              <w:t>8、支持 4G/5G 蜂窝接入（含 eSIM），支持智能 OTA 升级；</w:t>
            </w:r>
          </w:p>
          <w:p w14:paraId="71A12612">
            <w:r>
              <w:t>9、APP高清图传、遥控、所有数据查看；APP图形化编程;</w:t>
            </w:r>
          </w:p>
          <w:p w14:paraId="4E3E6697">
            <w:r>
              <w:t>10、无线通信：支持 Wi-Fi 6（802.11ax），蓝牙 5.x/4.x 兼容；</w:t>
            </w:r>
          </w:p>
          <w:p w14:paraId="4AF297FB">
            <w:r>
              <w:t>11、配备无线矢量定位及控制系统，实现伴随;</w:t>
            </w:r>
          </w:p>
          <w:p w14:paraId="57BD4BF4">
            <w:r>
              <w:t>12、具备可扩展的机载算力（拓展坞或内置均可），含AI算法及技术支持;</w:t>
            </w:r>
          </w:p>
          <w:p w14:paraId="1417AC54">
            <w:r>
              <w:t>13、具备深度相机（带IMU）;</w:t>
            </w:r>
          </w:p>
          <w:p w14:paraId="125344BA">
            <w:r>
              <w:t>14、具备中高配 3D 激光雷达，线数≥16，含导航/建图算法及技术支持。</w:t>
            </w:r>
          </w:p>
        </w:tc>
      </w:tr>
      <w:tr w14:paraId="4E6BC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jc w:val="center"/>
        </w:trPr>
        <w:tc>
          <w:tcPr>
            <w:tcW w:w="1520" w:type="dxa"/>
            <w:vAlign w:val="center"/>
          </w:tcPr>
          <w:p w14:paraId="70349A03">
            <w:pPr>
              <w:rPr>
                <w:sz w:val="28"/>
                <w:szCs w:val="28"/>
              </w:rPr>
            </w:pPr>
            <w:r>
              <w:rPr>
                <w:rFonts w:hint="eastAsia"/>
              </w:rPr>
              <w:t>标的物3：</w:t>
            </w:r>
            <w:r>
              <w:rPr>
                <w:rFonts w:hint="eastAsia" w:ascii="宋体" w:hAnsi="宋体" w:cs="宋体"/>
                <w:szCs w:val="21"/>
              </w:rPr>
              <w:t>舵机机械臂</w:t>
            </w:r>
          </w:p>
        </w:tc>
        <w:tc>
          <w:tcPr>
            <w:tcW w:w="6540" w:type="dxa"/>
            <w:vAlign w:val="center"/>
          </w:tcPr>
          <w:p w14:paraId="6A84A546">
            <w:r>
              <w:t>1、总自由度：≥6;</w:t>
            </w:r>
          </w:p>
          <w:p w14:paraId="7DC56DBB">
            <w:r>
              <w:t>2、关节参数：各轴关节运动范围应覆盖装配/抓取常用姿态（例如：J1 ≥±135°、J2 ≥±90°、J3 ≥±90°、J4 ≥±135°、J5 ≥±90°、J6 ≥±135°），不以单一角度组合作为唯一条件；</w:t>
            </w:r>
          </w:p>
          <w:p w14:paraId="1A0F9014">
            <w:r>
              <w:t>3、负载能力：≥0.5 kg；</w:t>
            </w:r>
          </w:p>
          <w:p w14:paraId="62170D87">
            <w:r>
              <w:t>4、最大臂展：工作半径≥600 mm（不含夹爪）；整机最大伸展≥700 mm（含夹爪）；</w:t>
            </w:r>
          </w:p>
          <w:p w14:paraId="296EF213">
            <w:r>
              <w:t>5、电源：DC24V，持续电流能力≥2.5A，峰值电流能力≈5 A；</w:t>
            </w:r>
          </w:p>
          <w:p w14:paraId="20498A50">
            <w:r>
              <w:t>6、功率：额定功率≤ 70 W；</w:t>
            </w:r>
          </w:p>
          <w:p w14:paraId="404BD682">
            <w:r>
              <w:t>7、控制通信接口：标准以太网 RJ45（10/100/1000 Mbps 自适应，支持 TCP/UDP 等常见以太网通信协议。</w:t>
            </w:r>
          </w:p>
          <w:p w14:paraId="5BAE7282">
            <w:r>
              <w:t>8、与四足机器人配套使用；</w:t>
            </w:r>
          </w:p>
        </w:tc>
      </w:tr>
      <w:tr w14:paraId="7EC55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2" w:hRule="atLeast"/>
          <w:jc w:val="center"/>
        </w:trPr>
        <w:tc>
          <w:tcPr>
            <w:tcW w:w="1520" w:type="dxa"/>
            <w:vAlign w:val="center"/>
          </w:tcPr>
          <w:p w14:paraId="007313BE">
            <w:pPr>
              <w:rPr>
                <w:sz w:val="28"/>
                <w:szCs w:val="28"/>
              </w:rPr>
            </w:pPr>
            <w:r>
              <w:rPr>
                <w:rFonts w:hint="eastAsia"/>
              </w:rPr>
              <w:t>标的物4：</w:t>
            </w:r>
            <w:r>
              <w:t>UGV 无人车</w:t>
            </w:r>
          </w:p>
        </w:tc>
        <w:tc>
          <w:tcPr>
            <w:tcW w:w="6540" w:type="dxa"/>
            <w:vAlign w:val="center"/>
          </w:tcPr>
          <w:p w14:paraId="319FB981">
            <w:r>
              <w:rPr>
                <w:rFonts w:hint="eastAsia"/>
              </w:rPr>
              <w:t>尺寸：长≥</w:t>
            </w:r>
            <w:r>
              <w:t>1220mm、宽≥870mm、高≥475mm;</w:t>
            </w:r>
          </w:p>
          <w:p w14:paraId="579C57F0">
            <w:r>
              <w:rPr>
                <w:rFonts w:hint="eastAsia"/>
              </w:rPr>
              <w:t>轮距≥</w:t>
            </w:r>
            <w:r>
              <w:t>560mm,轴距≥890mm;</w:t>
            </w:r>
          </w:p>
          <w:p w14:paraId="23E684C1">
            <w:r>
              <w:rPr>
                <w:rFonts w:hint="eastAsia"/>
              </w:rPr>
              <w:t>驱动电机要求配备≥</w:t>
            </w:r>
            <w:r>
              <w:t>600W*4，转向电机配备48V无刷有齿电机, 额定扭矩 ≥20 N·m×4;</w:t>
            </w:r>
          </w:p>
          <w:p w14:paraId="5D7FAF89">
            <w:r>
              <w:rPr>
                <w:rFonts w:hint="eastAsia"/>
              </w:rPr>
              <w:t>最大速度≥</w:t>
            </w:r>
            <w:r>
              <w:t>2.5m/s，要求可以通过上位机读取底盘的速度信息;</w:t>
            </w:r>
          </w:p>
          <w:p w14:paraId="067E094B">
            <w:r>
              <w:rPr>
                <w:rFonts w:hint="eastAsia"/>
              </w:rPr>
              <w:t>运动模式要求四轮四转，可实现原地自转、阿克曼、横移、斜移等模式；</w:t>
            </w:r>
          </w:p>
          <w:p w14:paraId="2C3732A7">
            <w:r>
              <w:rPr>
                <w:rFonts w:hint="eastAsia"/>
              </w:rPr>
              <w:t>最大越障：≥</w:t>
            </w:r>
            <w:r>
              <w:t>100mm（垂直障碍满载）;</w:t>
            </w:r>
          </w:p>
          <w:p w14:paraId="5C9EF12E">
            <w:r>
              <w:rPr>
                <w:rFonts w:hint="eastAsia"/>
              </w:rPr>
              <w:t>最大爬坡：≥</w:t>
            </w:r>
            <w:r>
              <w:t>10°;</w:t>
            </w:r>
          </w:p>
          <w:p w14:paraId="58975A9C">
            <w:r>
              <w:rPr>
                <w:rFonts w:hint="eastAsia"/>
              </w:rPr>
              <w:t>最大载重要求≥</w:t>
            </w:r>
            <w:r>
              <w:t>150KG;</w:t>
            </w:r>
          </w:p>
          <w:p w14:paraId="417BF7E6">
            <w:r>
              <w:rPr>
                <w:rFonts w:hint="eastAsia"/>
              </w:rPr>
              <w:t>续航时间：</w:t>
            </w:r>
            <w:r>
              <w:t>2~8h;</w:t>
            </w:r>
          </w:p>
          <w:p w14:paraId="4BE21B9B">
            <w:r>
              <w:rPr>
                <w:rFonts w:hint="eastAsia"/>
              </w:rPr>
              <w:t>充电时间：≤</w:t>
            </w:r>
            <w:r>
              <w:t>1.5 h（单电池）;</w:t>
            </w:r>
          </w:p>
          <w:p w14:paraId="3C49D61C">
            <w:r>
              <w:rPr>
                <w:rFonts w:hint="eastAsia"/>
              </w:rPr>
              <w:t>电池类型：铁锂电池</w:t>
            </w:r>
            <w:r>
              <w:t>;</w:t>
            </w:r>
          </w:p>
          <w:p w14:paraId="77A7D0FA">
            <w:r>
              <w:rPr>
                <w:rFonts w:hint="eastAsia"/>
              </w:rPr>
              <w:t>单电池容量：约</w:t>
            </w:r>
            <w:r>
              <w:t>48V20~30 Ah，支持拓展为多块电池并联;</w:t>
            </w:r>
          </w:p>
          <w:p w14:paraId="7C08FABB">
            <w:r>
              <w:rPr>
                <w:rFonts w:hint="eastAsia"/>
              </w:rPr>
              <w:t>对外供电：常见</w:t>
            </w:r>
            <w:r>
              <w:t xml:space="preserve"> DC 输出（12–48 V，功率≥500 W），通讯接口为标准 CAN（可扩展以太网/串口），通过 CAN/以太网可控制底盘并获取信息；</w:t>
            </w:r>
          </w:p>
          <w:p w14:paraId="7F87D822">
            <w:r>
              <w:rPr>
                <w:rFonts w:hint="eastAsia"/>
              </w:rPr>
              <w:t>要求支持基于平台的快速二次开发，提供必需的</w:t>
            </w:r>
            <w:r>
              <w:t>SDK与ROS程序包；</w:t>
            </w:r>
          </w:p>
          <w:p w14:paraId="197B8877">
            <w:r>
              <w:rPr>
                <w:rFonts w:hint="eastAsia"/>
              </w:rPr>
              <w:t>具备完整运动控制，支持遥控模式与指令模式一键切换；主控须预留二次开发接口；</w:t>
            </w:r>
          </w:p>
          <w:p w14:paraId="332EF74D">
            <w:r>
              <w:rPr>
                <w:rFonts w:hint="eastAsia"/>
              </w:rPr>
              <w:t>要求底盘提供仿真功能，具备</w:t>
            </w:r>
            <w:r>
              <w:t>RVIZ等开发工具。</w:t>
            </w:r>
          </w:p>
          <w:p w14:paraId="3499790A">
            <w:r>
              <w:rPr>
                <w:rFonts w:hint="eastAsia"/>
              </w:rPr>
              <w:t>额外配置充电桩：输出电压</w:t>
            </w:r>
            <w:r>
              <w:t xml:space="preserve"> ≥53V，充电电流: 最大20A，工作温度: 0-45℃。</w:t>
            </w:r>
          </w:p>
        </w:tc>
      </w:tr>
      <w:tr w14:paraId="25A7C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1520" w:type="dxa"/>
            <w:vAlign w:val="center"/>
          </w:tcPr>
          <w:p w14:paraId="2BC2B857">
            <w:pPr>
              <w:spacing w:before="120"/>
              <w:rPr>
                <w:sz w:val="28"/>
                <w:szCs w:val="28"/>
              </w:rPr>
            </w:pPr>
            <w:r>
              <w:rPr>
                <w:rFonts w:hint="eastAsia"/>
              </w:rPr>
              <w:t>标的物5：</w:t>
            </w:r>
            <w:r>
              <w:t>UAV无人机</w:t>
            </w:r>
          </w:p>
          <w:p w14:paraId="02A913F8"/>
        </w:tc>
        <w:tc>
          <w:tcPr>
            <w:tcW w:w="6540" w:type="dxa"/>
            <w:vAlign w:val="center"/>
          </w:tcPr>
          <w:p w14:paraId="01AD42CB">
            <w:r>
              <w:t></w:t>
            </w:r>
            <w:r>
              <w:tab/>
            </w:r>
            <w:r>
              <w:t>1.飞行平台：四旋翼；对角轴距约280~450 mm；最大起飞重量≤2.5 kg（含电池与常规教学负载）；具备可更换电池与机臂/桨叶快拆结构。</w:t>
            </w:r>
          </w:p>
          <w:p w14:paraId="6EE81D7D">
            <w:r>
              <w:t></w:t>
            </w:r>
            <w:r>
              <w:tab/>
            </w:r>
            <w:r>
              <w:t>2.续航能力：室内无风悬停续航≥10 min（含机载感知与计算模组开启）。</w:t>
            </w:r>
          </w:p>
          <w:p w14:paraId="59C04A02">
            <w:r>
              <w:t></w:t>
            </w:r>
            <w:r>
              <w:tab/>
            </w:r>
            <w:r>
              <w:t>3.定位与稳定：支持视觉/惯性/激光融合定位；在典型室内标志或点云环境下，悬停水平/垂直位置保持误差≤0.2 m。</w:t>
            </w:r>
          </w:p>
          <w:p w14:paraId="40E41A66">
            <w:r>
              <w:t></w:t>
            </w:r>
            <w:r>
              <w:tab/>
            </w:r>
            <w:r>
              <w:t>4.机载计算：集成嵌入式AI计算平台，整机算力≥100 TOPS；系统内存≥8 GB，本地存储≥64 GB。</w:t>
            </w:r>
          </w:p>
          <w:p w14:paraId="09D59592">
            <w:r>
              <w:t></w:t>
            </w:r>
            <w:r>
              <w:tab/>
            </w:r>
            <w:r>
              <w:t>5.三维感知（可选/可换）：支持三维激光雷达或主动立体深度感知模块；若配激光雷达，要求水平FOV 360°、点频≥200 kpts/s、典型量程≥30 m（10%反射率靶环境）；若配深度相机，深度分辨率≥1280×720@30 FPS、最低测距≤0.2 m。</w:t>
            </w:r>
          </w:p>
          <w:p w14:paraId="61D7C5B3">
            <w:r>
              <w:t></w:t>
            </w:r>
            <w:r>
              <w:tab/>
            </w:r>
            <w:r>
              <w:t>6.云台SDK支持角度、角速度等数据控制，提供Linux SDK和ROS SDK。</w:t>
            </w:r>
          </w:p>
          <w:p w14:paraId="2DC83EB1">
            <w:r>
              <w:t></w:t>
            </w:r>
            <w:r>
              <w:tab/>
            </w:r>
            <w:r>
              <w:t>7.飞控与开放接口：兼容PX4/APM等开源飞控生态；支持MAVLink 协议与ROS/ROS2（含图像、点云、IMU、里程计等常用消息接口）的数据发布/订阅与控制桥接。</w:t>
            </w:r>
          </w:p>
          <w:p w14:paraId="7619DDE5">
            <w:r>
              <w:t></w:t>
            </w:r>
            <w:r>
              <w:tab/>
            </w:r>
            <w:r>
              <w:t>8.感知与算法示例：提供视觉/激光SLAM、路径规划/避障、定点悬停/航点飞行、目标检测与跟踪等典型任务示例工程及源代码（或二次开发接口与说明）。</w:t>
            </w:r>
          </w:p>
          <w:p w14:paraId="596292F9">
            <w:r>
              <w:t></w:t>
            </w:r>
            <w:r>
              <w:tab/>
            </w:r>
            <w:r>
              <w:t>9.安全与防护：支持电子围栏/限高/限速设置；提供一键急停与权限分级；螺旋桨防护或其他有效安全措施适配室内教学。</w:t>
            </w:r>
          </w:p>
          <w:p w14:paraId="35AD532B">
            <w:r>
              <w:t></w:t>
            </w:r>
            <w:r>
              <w:tab/>
            </w:r>
            <w:r>
              <w:t>10.软件与生态：系统软件支持Linux环境；提供中文技术文档、API说明与安装部署指南；与主流仿真平台具备数据/接口对接能力（如URDF/SDF模型、传感器仿真接口等）。</w:t>
            </w:r>
          </w:p>
          <w:p w14:paraId="5B2E98C6">
            <w:r>
              <w:t></w:t>
            </w:r>
            <w:r>
              <w:tab/>
            </w:r>
            <w:r>
              <w:t>11.兼容与扩展：可在不改动核心软硬件的前提下扩展/更换感知模组（如深度相机/激光雷达/RTK等）；预留GPIO/串口/以太网等扩展接口。</w:t>
            </w:r>
          </w:p>
        </w:tc>
      </w:tr>
      <w:tr w14:paraId="69606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1520" w:type="dxa"/>
            <w:vAlign w:val="center"/>
          </w:tcPr>
          <w:p w14:paraId="24A515FA">
            <w:r>
              <w:rPr>
                <w:rFonts w:hint="eastAsia"/>
              </w:rPr>
              <w:t>标的物6：</w:t>
            </w:r>
          </w:p>
          <w:p w14:paraId="6C48D2C9">
            <w:r>
              <w:rPr>
                <w:rFonts w:hint="eastAsia"/>
              </w:rPr>
              <w:t>云边端虚实融合异构智能体管控</w:t>
            </w:r>
            <w:r>
              <w:t>系统</w:t>
            </w:r>
          </w:p>
        </w:tc>
        <w:tc>
          <w:tcPr>
            <w:tcW w:w="6540" w:type="dxa"/>
            <w:vAlign w:val="center"/>
          </w:tcPr>
          <w:p w14:paraId="336DF41B">
            <w:r>
              <w:t>A. 系统架构与并发</w:t>
            </w:r>
          </w:p>
          <w:p w14:paraId="1C3A8228">
            <w:r>
              <w:t></w:t>
            </w:r>
            <w:r>
              <w:tab/>
            </w:r>
            <w:r>
              <w:t>C/S 架构：客户端—业务计算处理单元—边缘实时控制单元—异构智能体—算力平台的分层体系，支持多用户同时在线、集中管控与任务监控。</w:t>
            </w:r>
          </w:p>
          <w:p w14:paraId="0BA003EA">
            <w:r>
              <w:t></w:t>
            </w:r>
            <w:r>
              <w:tab/>
            </w:r>
            <w:r>
              <w:t>任务编排与调度：服务器侧负责任务解析与调度、自动评测逻辑执行；支持任务过程数据回传与闭环监控。</w:t>
            </w:r>
          </w:p>
          <w:p w14:paraId="14C2D125">
            <w:r>
              <w:t></w:t>
            </w:r>
            <w:r>
              <w:tab/>
            </w:r>
            <w:r>
              <w:t>仿真到实机：支持仿真环境与实机平台间的模型/代码迁移；在不修改核心算法代码的前提下，通过配置/适配层完成设备与通信映射；提供调试与性能分析功能。</w:t>
            </w:r>
          </w:p>
          <w:p w14:paraId="10DE4792">
            <w:r>
              <w:t></w:t>
            </w:r>
            <w:r>
              <w:tab/>
            </w:r>
            <w:r>
              <w:t>多用户并发与算力调度：支持按课程/班级/分组的并发登录与操作；提供资源使用监控与基于策略的分配（至少能设置并发上限或配额其一）；提供作业排队机制（如先到先服务，支持优先级）；当资源不足或网络受限时给出状态提示与排队信息。</w:t>
            </w:r>
          </w:p>
          <w:p w14:paraId="3A6C5853">
            <w:r>
              <w:t>B. 软件功能模块</w:t>
            </w:r>
          </w:p>
          <w:p w14:paraId="6985290A">
            <w:pPr>
              <w:ind w:firstLine="420" w:firstLineChars="200"/>
            </w:pPr>
            <w:r>
              <w:t>1. 实时仿真管理平台（边缘侧）：</w:t>
            </w:r>
          </w:p>
          <w:p w14:paraId="34844A03">
            <w:r>
              <w:t></w:t>
            </w:r>
            <w:r>
              <w:tab/>
            </w:r>
            <w:r>
              <w:t xml:space="preserve">提供工程/模型管理、编译部署、实时监控、数据录制与回放、自定义 UI、仿真机管理等功能；支持基于模型设计（MBD）及主流建模/仿真工具的无缝衔接; </w:t>
            </w:r>
          </w:p>
          <w:p w14:paraId="521825B6">
            <w:r>
              <w:t></w:t>
            </w:r>
            <w:r>
              <w:tab/>
            </w:r>
            <w:r>
              <w:t>系统支持 MATLAB/Simulink的模型搭建、仿真、在线调参与记录，可与平台工程/模型管理无缝衔接;</w:t>
            </w:r>
          </w:p>
          <w:p w14:paraId="036BA20B">
            <w:r>
              <w:t></w:t>
            </w:r>
            <w:r>
              <w:tab/>
            </w:r>
            <w:r>
              <w:t>集成 MATLAB/Simulink 环境的功能模块库，覆盖 EtherCAT 主/从、CAN/CAN-FD、A/D、D/A、GPIO/DI/DO、UART、编码器等 I/O 板卡的驱动块，以及飞控硬件支持包与人形/四足等机器人示例库，提供参考工程与二次开发接口。</w:t>
            </w:r>
          </w:p>
          <w:p w14:paraId="53343B30">
            <w:pPr>
              <w:ind w:firstLine="420" w:firstLineChars="200"/>
            </w:pPr>
            <w:r>
              <w:t>2. 机器人管理模块：与业务计算处理单元通讯，实现任务调度、机器人控制、数据反馈；支持将本地算法与训练配置上传算力中心触发训练，并回传模型用于部署。</w:t>
            </w:r>
          </w:p>
          <w:p w14:paraId="15CF8D50">
            <w:pPr>
              <w:ind w:firstLine="420" w:firstLineChars="200"/>
            </w:pPr>
            <w:r>
              <w:t>3. 业务计算处理单元端软件：</w:t>
            </w:r>
          </w:p>
          <w:p w14:paraId="566CE69D">
            <w:r>
              <w:t></w:t>
            </w:r>
            <w:r>
              <w:tab/>
            </w:r>
            <w:r>
              <w:t>业务服务：处理客户端请求、会话管理、任务解析/调度、自动评测逻辑、算力中心与边缘参数配置。</w:t>
            </w:r>
          </w:p>
          <w:p w14:paraId="2AD809DA">
            <w:r>
              <w:t></w:t>
            </w:r>
            <w:r>
              <w:tab/>
            </w:r>
            <w:r>
              <w:t>资源管理：结构化/非结构化数据（用户、设备、任务、实验、日志）存储；算力集群、边缘控制器与机器人信息配置。</w:t>
            </w:r>
          </w:p>
          <w:p w14:paraId="7C8D93B9">
            <w:r>
              <w:t>C. 边缘实时控制与仿真单元</w:t>
            </w:r>
          </w:p>
          <w:p w14:paraId="5E691219">
            <w:r>
              <w:t></w:t>
            </w:r>
            <w:r>
              <w:tab/>
            </w:r>
            <w:r>
              <w:t>处理器：≥12 核/20 线程，睿频≥ 4.9 GHz；内存 ≥16 GB。</w:t>
            </w:r>
          </w:p>
          <w:p w14:paraId="7A0DF17D">
            <w:r>
              <w:t></w:t>
            </w:r>
            <w:r>
              <w:tab/>
            </w:r>
            <w:r>
              <w:t>通信与扩展：≥2×千兆网口；≥2×DB9 串口；USB≥4（≥USB3.0）；PCIe ≥4 路（x16+x8+x4+x1），可扩展 EtherCAT、CAN/CAN-FD、采集卡等。</w:t>
            </w:r>
            <w:r>
              <w:br w:type="textWrapping"/>
            </w:r>
            <w:r>
              <w:rPr>
                <w:rFonts w:hint="eastAsia"/>
              </w:rPr>
              <w:t xml:space="preserve"> </w:t>
            </w:r>
            <w:r>
              <w:t xml:space="preserve">  </w:t>
            </w:r>
            <w:r>
              <w:rPr>
                <w:rFonts w:hint="eastAsia"/>
              </w:rPr>
              <w:t>为便于二次开发，提供程序资源包作为借鉴参考：（投标文件中提供程序截图或者资源包截图证明，设备交付时以</w:t>
            </w:r>
            <w:r>
              <w:t>U盘形式通过完整程序和资源包）自动控制方向（嵌入式编程）：提供两轮智能平衡车基础外设使用以及自平衡控制相关程序；自动控制方向（基于MATLAB/SIMULINK编程）：提供两轮智能平衡车基础外设使用以及自平衡控制相关程序；自动控制方向（基于MATLAB/SIMULINK编程）：提供直线电机一级的PID、LQR、模糊控制、神经网络控制程序；自动控制方向（基于MATLAB/SIMULINK编程）：提供直线电机二</w:t>
            </w:r>
            <w:r>
              <w:rPr>
                <w:rFonts w:hint="eastAsia"/>
              </w:rPr>
              <w:t>级倒立摆的</w:t>
            </w:r>
            <w:r>
              <w:t>LQR、滑膜控制程序；电机驱动方向（基于MATLAB/SIMULINK编程）：提供永磁同步电机&amp;异步电机的电流、速度及位置三环控制模型；无刷电机的六步换相法控制；电机驱动方向（基于MATLAB/SIMULINK编程）：提供工业轮毂电机的电流、速度及位置三环控制模型；电机驱动方向（基于MATLAB/SIMULINK编程）：提供机械臂关节模组电机的电流、速度及位置三环控制模型。</w:t>
            </w:r>
          </w:p>
          <w:p w14:paraId="7C280F12">
            <w:r>
              <w:rPr>
                <w:rFonts w:hint="eastAsia"/>
              </w:rPr>
              <w:t>说明：以上为最低配置，允许等效或更高配置（满足并发仿真、数据采集与课堂实时监控）。</w:t>
            </w:r>
          </w:p>
          <w:p w14:paraId="27D713AF">
            <w:r>
              <w:t>D. 业务计算处理单元</w:t>
            </w:r>
          </w:p>
          <w:p w14:paraId="011AFB04">
            <w:r>
              <w:t></w:t>
            </w:r>
            <w:r>
              <w:tab/>
            </w:r>
            <w:r>
              <w:t>CPU ≥24 核（睿频≥ 5.1 GHz）；内存 ≥32 GB；存储 ≥2 TB；≥2×千兆网口。</w:t>
            </w:r>
          </w:p>
          <w:p w14:paraId="031C8526">
            <w:r>
              <w:rPr>
                <w:rFonts w:hint="eastAsia"/>
              </w:rPr>
              <w:t>说明：以上为最低配置，允许等效或更高配置（满足并发仿真、数据采集与课堂实时监控）。</w:t>
            </w:r>
          </w:p>
          <w:p w14:paraId="782CBB39">
            <w:r>
              <w:t>E. 开放接口与生态</w:t>
            </w:r>
          </w:p>
          <w:p w14:paraId="67177CCA">
            <w:r>
              <w:t></w:t>
            </w:r>
            <w:r>
              <w:tab/>
            </w:r>
            <w:r>
              <w:t>二次开发：提供 SDK/API 与文档，支持对感知/规划/控制典型任务的示例与复用。</w:t>
            </w:r>
          </w:p>
          <w:p w14:paraId="0B1B4573">
            <w:r>
              <w:t></w:t>
            </w:r>
            <w:r>
              <w:tab/>
            </w:r>
            <w:r>
              <w:t>工具链：支持 MBD 方法与主流建模/仿真工具箱；可对接 EtherCAT/CAN/CAN-FD/ADDA/UART 等 I/O。</w:t>
            </w:r>
          </w:p>
          <w:p w14:paraId="30440E1E">
            <w:r>
              <w:t></w:t>
            </w:r>
            <w:r>
              <w:tab/>
            </w:r>
            <w:r>
              <w:t>数据与协议：变量化命名、实时采集、记录回放、日志留痕；支持多源数据集中可视化与导出。</w:t>
            </w:r>
          </w:p>
          <w:p w14:paraId="4D1E2625">
            <w:r>
              <w:t xml:space="preserve">F. </w:t>
            </w:r>
            <w:bookmarkStart w:id="0" w:name="_GoBack"/>
            <w:bookmarkEnd w:id="0"/>
            <w:r>
              <w:t>教学与资源支持</w:t>
            </w:r>
          </w:p>
          <w:p w14:paraId="7F9DF22B">
            <w:r>
              <w:t>提供手机端教学资源，有控制与仿真、智能控制、移动底盘等课程，有不少于10期学者讲坛板块，有论文专利分享板块，有机器人爱好者社群板块。在学习中心可以查看累计学习课时、今日学习时长、连续学习天数等信息；提供机械臂学习相关的网络教学资源，至少包括关节空间的轨迹规划算法设计和实时控制、笛卡尔空间的轨迹规划算法设计和实时控制、六轴PID正弦轨迹跟踪控制、六轴机械臂的动力学参数辨识和软硬件实现，采用自适应算法的单轴、两轴轨迹跟踪控制、双关节零力拖动等内容。（投标文件中提供功能截图，并能完整体现以上信息）</w:t>
            </w:r>
          </w:p>
        </w:tc>
      </w:tr>
      <w:tr w14:paraId="136F1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1520" w:type="dxa"/>
            <w:vAlign w:val="center"/>
          </w:tcPr>
          <w:p w14:paraId="255052CF">
            <w:r>
              <w:rPr>
                <w:rFonts w:hint="eastAsia"/>
              </w:rPr>
              <w:t>标的物</w:t>
            </w:r>
            <w:r>
              <w:t>7</w:t>
            </w:r>
            <w:r>
              <w:rPr>
                <w:rFonts w:hint="eastAsia"/>
              </w:rPr>
              <w:t>：</w:t>
            </w:r>
          </w:p>
          <w:p w14:paraId="44A80606">
            <w:r>
              <w:rPr>
                <w:rFonts w:hint="eastAsia"/>
              </w:rPr>
              <w:t>动作捕捉系统</w:t>
            </w:r>
          </w:p>
          <w:p w14:paraId="7B9446DE"/>
        </w:tc>
        <w:tc>
          <w:tcPr>
            <w:tcW w:w="6540" w:type="dxa"/>
            <w:vAlign w:val="center"/>
          </w:tcPr>
          <w:p w14:paraId="625065B9">
            <w:r>
              <w:t></w:t>
            </w:r>
            <w:r>
              <w:tab/>
            </w:r>
            <w:r>
              <w:t>1.系统形态：C/S 架构，支持 Server/Client 分离部署；提供 SDK 用于二次开发；支持2D/3D可视化显示；支持与任意惯性器件做光惯混合，带光惯混合功能的刚体即使仅捕捉到一到两个标记点仍能稳定追踪其6自由度；支持人物和刚体角色的Xmap/Bmap的导出/删除/添加等功能，快速启用已有的重定向数据；可对柔性物体进行追踪。</w:t>
            </w:r>
          </w:p>
          <w:p w14:paraId="415B6264">
            <w:r>
              <w:t></w:t>
            </w:r>
            <w:r>
              <w:tab/>
            </w:r>
            <w:r>
              <w:t>2.相机与网络：光学高速动捕相机≥ 12 台，可扩展；千兆以太网传输与 PoE/PoE+供电；端到端链路时延≤20 ms；单机有效分辨率≥4MP；满分辨率帧率≥180 FPS；水平/垂直视场角 ≥50°。</w:t>
            </w:r>
          </w:p>
          <w:p w14:paraId="69DA7DA7">
            <w:r>
              <w:t></w:t>
            </w:r>
            <w:r>
              <w:tab/>
            </w:r>
            <w:r>
              <w:t>3.测量能力：系统空间定位精度（静态 RMS）≤1.0 mm，角度精度 ≤0.1°；典型室内有效追踪距离 ≥10 m（随布置与反射条件而定）。</w:t>
            </w:r>
          </w:p>
          <w:p w14:paraId="7E135C03">
            <w:r>
              <w:t></w:t>
            </w:r>
            <w:r>
              <w:tab/>
            </w:r>
            <w:r>
              <w:t>4.目标规模与数据：支持多刚体定位与全身动捕，可同时追踪≥90 个目标/刚体；支持数据记录/回放与质量可视化提示；支持40人以上全身动捕；支持刚体坐标系及坐标原点实时调整，调整效果可在Unity3D或UE4中实时体现；支持实时和离线数据烘焙到模型上并可导出fbx。</w:t>
            </w:r>
          </w:p>
          <w:p w14:paraId="47BDD1F4">
            <w:r>
              <w:t></w:t>
            </w:r>
            <w:r>
              <w:tab/>
            </w:r>
            <w:r>
              <w:t>5.标记点兼容：兼容主动式与被动式标记点；支持主动标记点ID 编码识别，丢失后可快速重识别；提供标记点亮度/阈值可调与遮挡鲁棒处理。</w:t>
            </w:r>
          </w:p>
          <w:p w14:paraId="582C6903">
            <w:r>
              <w:t></w:t>
            </w:r>
            <w:r>
              <w:tab/>
            </w:r>
            <w:r>
              <w:t>6.校准与可视化：提供T/L 形校准工具与在线校准；支持可追踪区域实时显示，便于相机布置与维护；给出大场地布置指导。</w:t>
            </w:r>
          </w:p>
          <w:p w14:paraId="3AC57D18">
            <w:r>
              <w:t></w:t>
            </w:r>
            <w:r>
              <w:tab/>
            </w:r>
            <w:r>
              <w:t>7.协议与生态：支持 VRPN、TrackD、DTrack、OpenVR/LiveStream 等常用协议；可与 Unity/Unreal/MotionBuilder/Maya/Matlab/ROS 等主流软件对接；数据格式支持 C3D/FBX/BVH/TRC 等。</w:t>
            </w:r>
          </w:p>
          <w:p w14:paraId="026FBB3F">
            <w:r>
              <w:t></w:t>
            </w:r>
            <w:r>
              <w:tab/>
            </w:r>
            <w:r>
              <w:t>8.稳定性与环境：系统具备长时间稳定运行能力；相机工作温湿度满足教学实验室常温/常湿要求（例如 -10～50℃、≤90%RH）；提供抗振/EMC/安全合规说明（如 CE/FCC/EMC/RoHS）。</w:t>
            </w:r>
          </w:p>
        </w:tc>
      </w:tr>
    </w:tbl>
    <w:p w14:paraId="71B58E8E"/>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方正小标宋简体">
    <w:panose1 w:val="03000509000000000000"/>
    <w:charset w:val="86"/>
    <w:family w:val="script"/>
    <w:pitch w:val="default"/>
    <w:sig w:usb0="00000001" w:usb1="080E0000" w:usb2="00000000" w:usb3="00000000" w:csb0="00040000" w:csb1="00000000"/>
  </w:font>
  <w:font w:name="方正仿宋_GB2312">
    <w:altName w:val="仿宋"/>
    <w:panose1 w:val="00000000000000000000"/>
    <w:charset w:val="86"/>
    <w:family w:val="auto"/>
    <w:pitch w:val="default"/>
    <w:sig w:usb0="00000000" w:usb1="00000000" w:usb2="00000012" w:usb3="00000000" w:csb0="0004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FFD"/>
    <w:rsid w:val="000339B7"/>
    <w:rsid w:val="000B37CF"/>
    <w:rsid w:val="00114F27"/>
    <w:rsid w:val="001B7709"/>
    <w:rsid w:val="00217F36"/>
    <w:rsid w:val="002A4FFD"/>
    <w:rsid w:val="0033310D"/>
    <w:rsid w:val="003D3766"/>
    <w:rsid w:val="004C4FC1"/>
    <w:rsid w:val="005A02F9"/>
    <w:rsid w:val="00616E39"/>
    <w:rsid w:val="006365D1"/>
    <w:rsid w:val="006817C1"/>
    <w:rsid w:val="006E5341"/>
    <w:rsid w:val="00731194"/>
    <w:rsid w:val="007B7D7D"/>
    <w:rsid w:val="008B3716"/>
    <w:rsid w:val="008C4A42"/>
    <w:rsid w:val="00A03A6F"/>
    <w:rsid w:val="00A419D1"/>
    <w:rsid w:val="00A43A8D"/>
    <w:rsid w:val="00A80E8C"/>
    <w:rsid w:val="00B70864"/>
    <w:rsid w:val="00BB5932"/>
    <w:rsid w:val="00C96449"/>
    <w:rsid w:val="00CD183E"/>
    <w:rsid w:val="00D13011"/>
    <w:rsid w:val="00D4430D"/>
    <w:rsid w:val="00E73E9E"/>
    <w:rsid w:val="00F240DF"/>
    <w:rsid w:val="00FC59C3"/>
    <w:rsid w:val="0F1568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14:ligatures w14:val="none"/>
    </w:rPr>
  </w:style>
  <w:style w:type="paragraph" w:styleId="2">
    <w:name w:val="heading 1"/>
    <w:basedOn w:val="1"/>
    <w:next w:val="1"/>
    <w:link w:val="17"/>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18"/>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19"/>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0"/>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1"/>
    <w:semiHidden/>
    <w:unhideWhenUsed/>
    <w:qFormat/>
    <w:uiPriority w:val="9"/>
    <w:pPr>
      <w:keepNext/>
      <w:keepLines/>
      <w:spacing w:before="80" w:after="40"/>
      <w:outlineLvl w:val="4"/>
    </w:pPr>
    <w:rPr>
      <w:rFonts w:cstheme="majorBidi"/>
      <w:color w:val="104862" w:themeColor="accent1" w:themeShade="BF"/>
      <w:sz w:val="24"/>
      <w:szCs w:val="24"/>
    </w:rPr>
  </w:style>
  <w:style w:type="paragraph" w:styleId="7">
    <w:name w:val="heading 6"/>
    <w:basedOn w:val="1"/>
    <w:next w:val="1"/>
    <w:link w:val="22"/>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23"/>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4"/>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5"/>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6">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11">
    <w:name w:val="footer"/>
    <w:basedOn w:val="1"/>
    <w:link w:val="36"/>
    <w:unhideWhenUsed/>
    <w:qFormat/>
    <w:uiPriority w:val="99"/>
    <w:pPr>
      <w:tabs>
        <w:tab w:val="center" w:pos="4153"/>
        <w:tab w:val="right" w:pos="8306"/>
      </w:tabs>
      <w:snapToGrid w:val="0"/>
      <w:jc w:val="left"/>
    </w:pPr>
    <w:rPr>
      <w:sz w:val="18"/>
      <w:szCs w:val="18"/>
    </w:rPr>
  </w:style>
  <w:style w:type="paragraph" w:styleId="12">
    <w:name w:val="header"/>
    <w:basedOn w:val="1"/>
    <w:link w:val="35"/>
    <w:unhideWhenUsed/>
    <w:qFormat/>
    <w:uiPriority w:val="99"/>
    <w:pPr>
      <w:tabs>
        <w:tab w:val="center" w:pos="4153"/>
        <w:tab w:val="right" w:pos="8306"/>
      </w:tabs>
      <w:snapToGrid w:val="0"/>
      <w:jc w:val="center"/>
    </w:pPr>
    <w:rPr>
      <w:sz w:val="18"/>
      <w:szCs w:val="18"/>
    </w:rPr>
  </w:style>
  <w:style w:type="paragraph" w:styleId="13">
    <w:name w:val="Subtitle"/>
    <w:basedOn w:val="1"/>
    <w:next w:val="1"/>
    <w:link w:val="27"/>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4">
    <w:name w:val="Title"/>
    <w:basedOn w:val="1"/>
    <w:next w:val="1"/>
    <w:link w:val="26"/>
    <w:qFormat/>
    <w:uiPriority w:val="10"/>
    <w:pPr>
      <w:spacing w:after="80"/>
      <w:contextualSpacing/>
      <w:jc w:val="center"/>
    </w:pPr>
    <w:rPr>
      <w:rFonts w:asciiTheme="majorHAnsi" w:hAnsiTheme="majorHAnsi" w:eastAsiaTheme="majorEastAsia" w:cstheme="majorBidi"/>
      <w:spacing w:val="-10"/>
      <w:kern w:val="28"/>
      <w:sz w:val="56"/>
      <w:szCs w:val="56"/>
    </w:rPr>
  </w:style>
  <w:style w:type="character" w:customStyle="1" w:styleId="17">
    <w:name w:val="标题 1 字符"/>
    <w:basedOn w:val="16"/>
    <w:link w:val="2"/>
    <w:qFormat/>
    <w:uiPriority w:val="9"/>
    <w:rPr>
      <w:rFonts w:asciiTheme="majorHAnsi" w:hAnsiTheme="majorHAnsi" w:eastAsiaTheme="majorEastAsia" w:cstheme="majorBidi"/>
      <w:color w:val="104862" w:themeColor="accent1" w:themeShade="BF"/>
      <w:sz w:val="48"/>
      <w:szCs w:val="48"/>
    </w:rPr>
  </w:style>
  <w:style w:type="character" w:customStyle="1" w:styleId="18">
    <w:name w:val="标题 2 字符"/>
    <w:basedOn w:val="16"/>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19">
    <w:name w:val="标题 3 字符"/>
    <w:basedOn w:val="16"/>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0">
    <w:name w:val="标题 4 字符"/>
    <w:basedOn w:val="16"/>
    <w:link w:val="5"/>
    <w:semiHidden/>
    <w:qFormat/>
    <w:uiPriority w:val="9"/>
    <w:rPr>
      <w:rFonts w:cstheme="majorBidi"/>
      <w:color w:val="104862" w:themeColor="accent1" w:themeShade="BF"/>
      <w:sz w:val="28"/>
      <w:szCs w:val="28"/>
    </w:rPr>
  </w:style>
  <w:style w:type="character" w:customStyle="1" w:styleId="21">
    <w:name w:val="标题 5 字符"/>
    <w:basedOn w:val="16"/>
    <w:link w:val="6"/>
    <w:semiHidden/>
    <w:qFormat/>
    <w:uiPriority w:val="9"/>
    <w:rPr>
      <w:rFonts w:cstheme="majorBidi"/>
      <w:color w:val="104862" w:themeColor="accent1" w:themeShade="BF"/>
      <w:sz w:val="24"/>
      <w:szCs w:val="24"/>
    </w:rPr>
  </w:style>
  <w:style w:type="character" w:customStyle="1" w:styleId="22">
    <w:name w:val="标题 6 字符"/>
    <w:basedOn w:val="16"/>
    <w:link w:val="7"/>
    <w:semiHidden/>
    <w:qFormat/>
    <w:uiPriority w:val="9"/>
    <w:rPr>
      <w:rFonts w:cstheme="majorBidi"/>
      <w:b/>
      <w:bCs/>
      <w:color w:val="104862" w:themeColor="accent1" w:themeShade="BF"/>
    </w:rPr>
  </w:style>
  <w:style w:type="character" w:customStyle="1" w:styleId="23">
    <w:name w:val="标题 7 字符"/>
    <w:basedOn w:val="16"/>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4">
    <w:name w:val="标题 8 字符"/>
    <w:basedOn w:val="16"/>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5">
    <w:name w:val="标题 9 字符"/>
    <w:basedOn w:val="16"/>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6">
    <w:name w:val="标题 字符"/>
    <w:basedOn w:val="16"/>
    <w:link w:val="14"/>
    <w:qFormat/>
    <w:uiPriority w:val="10"/>
    <w:rPr>
      <w:rFonts w:asciiTheme="majorHAnsi" w:hAnsiTheme="majorHAnsi" w:eastAsiaTheme="majorEastAsia" w:cstheme="majorBidi"/>
      <w:spacing w:val="-10"/>
      <w:kern w:val="28"/>
      <w:sz w:val="56"/>
      <w:szCs w:val="56"/>
    </w:rPr>
  </w:style>
  <w:style w:type="character" w:customStyle="1" w:styleId="27">
    <w:name w:val="副标题 字符"/>
    <w:basedOn w:val="16"/>
    <w:link w:val="13"/>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8">
    <w:name w:val="Quote"/>
    <w:basedOn w:val="1"/>
    <w:next w:val="1"/>
    <w:link w:val="29"/>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29">
    <w:name w:val="引用 字符"/>
    <w:basedOn w:val="16"/>
    <w:link w:val="28"/>
    <w:qFormat/>
    <w:uiPriority w:val="29"/>
    <w:rPr>
      <w:i/>
      <w:iCs/>
      <w:color w:val="404040" w:themeColor="text1" w:themeTint="BF"/>
      <w14:textFill>
        <w14:solidFill>
          <w14:schemeClr w14:val="tx1">
            <w14:lumMod w14:val="75000"/>
            <w14:lumOff w14:val="25000"/>
          </w14:schemeClr>
        </w14:solidFill>
      </w14:textFill>
    </w:rPr>
  </w:style>
  <w:style w:type="paragraph" w:styleId="30">
    <w:name w:val="List Paragraph"/>
    <w:basedOn w:val="1"/>
    <w:qFormat/>
    <w:uiPriority w:val="34"/>
    <w:pPr>
      <w:ind w:left="720"/>
      <w:contextualSpacing/>
    </w:pPr>
  </w:style>
  <w:style w:type="character" w:customStyle="1" w:styleId="31">
    <w:name w:val="Intense Emphasis"/>
    <w:basedOn w:val="16"/>
    <w:qFormat/>
    <w:uiPriority w:val="21"/>
    <w:rPr>
      <w:i/>
      <w:iCs/>
      <w:color w:val="104862" w:themeColor="accent1" w:themeShade="BF"/>
    </w:rPr>
  </w:style>
  <w:style w:type="paragraph" w:styleId="32">
    <w:name w:val="Intense Quote"/>
    <w:basedOn w:val="1"/>
    <w:next w:val="1"/>
    <w:link w:val="33"/>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3">
    <w:name w:val="明显引用 字符"/>
    <w:basedOn w:val="16"/>
    <w:link w:val="32"/>
    <w:qFormat/>
    <w:uiPriority w:val="30"/>
    <w:rPr>
      <w:i/>
      <w:iCs/>
      <w:color w:val="104862" w:themeColor="accent1" w:themeShade="BF"/>
    </w:rPr>
  </w:style>
  <w:style w:type="character" w:customStyle="1" w:styleId="34">
    <w:name w:val="Intense Reference"/>
    <w:basedOn w:val="16"/>
    <w:qFormat/>
    <w:uiPriority w:val="32"/>
    <w:rPr>
      <w:b/>
      <w:bCs/>
      <w:smallCaps/>
      <w:color w:val="104862" w:themeColor="accent1" w:themeShade="BF"/>
      <w:spacing w:val="5"/>
    </w:rPr>
  </w:style>
  <w:style w:type="character" w:customStyle="1" w:styleId="35">
    <w:name w:val="页眉 字符"/>
    <w:basedOn w:val="16"/>
    <w:link w:val="12"/>
    <w:qFormat/>
    <w:uiPriority w:val="99"/>
    <w:rPr>
      <w:sz w:val="18"/>
      <w:szCs w:val="18"/>
    </w:rPr>
  </w:style>
  <w:style w:type="character" w:customStyle="1" w:styleId="36">
    <w:name w:val="页脚 字符"/>
    <w:basedOn w:val="16"/>
    <w:link w:val="11"/>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6126</Words>
  <Characters>7017</Characters>
  <Lines>52</Lines>
  <Paragraphs>14</Paragraphs>
  <TotalTime>60</TotalTime>
  <ScaleCrop>false</ScaleCrop>
  <LinksUpToDate>false</LinksUpToDate>
  <CharactersWithSpaces>7192</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2025-11-24T02:55:00Z</dcterms:created>
  <dc:creator>JIE YANG</dc:creator>
  <cp:lastModifiedBy>段池</cp:lastModifiedBy>
  <dcterms:modified xsi:type="dcterms:W3CDTF">2026-01-19T06:58:53Z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eyJoZGlkIjoiMmVkMDYxNzg5YmJlZTUyODViYzkzNjVhMDVhMDUzYTYiLCJ1c2VySWQiOiIxNjg1MTkxNzc3In0=</vt:lpwstr>
  </property>
  <property fmtid="{D5CDD505-2E9C-101B-9397-08002B2CF9AE}" pid="3" name="KSOProductBuildVer">
    <vt:lpwstr>2052-12.1.0.22529</vt:lpwstr>
  </property>
  <property fmtid="{D5CDD505-2E9C-101B-9397-08002B2CF9AE}" pid="4" name="ICV">
    <vt:lpwstr>BAF1A1E6ED1D43A8ABDE10342BBEFBD5_12</vt:lpwstr>
  </property>
</Properties>
</file>