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4E589A">
      <w:pPr>
        <w:jc w:val="center"/>
        <w:rPr>
          <w:rFonts w:eastAsia="黑体"/>
          <w:b/>
          <w:bCs/>
          <w:sz w:val="24"/>
          <w:szCs w:val="32"/>
        </w:rPr>
      </w:pPr>
      <w:r>
        <w:rPr>
          <w:rFonts w:eastAsia="黑体"/>
          <w:b/>
          <w:bCs/>
          <w:sz w:val="28"/>
          <w:szCs w:val="28"/>
        </w:rPr>
        <w:t>商务要求</w:t>
      </w:r>
    </w:p>
    <w:p w14:paraId="5DA9E7CE">
      <w:pPr>
        <w:shd w:val="clear" w:color="auto" w:fill="FFFFFF"/>
        <w:spacing w:line="360" w:lineRule="auto"/>
        <w:ind w:firstLine="420" w:firstLineChars="200"/>
        <w:jc w:val="left"/>
        <w:rPr>
          <w:szCs w:val="21"/>
        </w:rPr>
      </w:pPr>
      <w:r>
        <w:rPr>
          <w:rFonts w:hint="eastAsia"/>
          <w:szCs w:val="21"/>
        </w:rPr>
        <w:t>1、交货要求和付款方式</w:t>
      </w:r>
    </w:p>
    <w:p w14:paraId="5A2EBE33">
      <w:pPr>
        <w:shd w:val="clear" w:color="auto" w:fill="FFFFFF"/>
        <w:spacing w:line="360" w:lineRule="auto"/>
        <w:ind w:firstLine="420" w:firstLineChars="200"/>
        <w:jc w:val="left"/>
        <w:rPr>
          <w:szCs w:val="21"/>
        </w:rPr>
      </w:pPr>
      <w:r>
        <w:rPr>
          <w:rFonts w:hint="eastAsia"/>
          <w:szCs w:val="21"/>
        </w:rPr>
        <w:t>1.1交货时间：合同签订后（接到甲方书面通知起）30</w:t>
      </w:r>
      <w:r>
        <w:rPr>
          <w:rFonts w:hint="eastAsia"/>
          <w:szCs w:val="21"/>
          <w:lang w:eastAsia="zh"/>
        </w:rPr>
        <w:t>个自然日</w:t>
      </w:r>
      <w:r>
        <w:rPr>
          <w:rFonts w:hint="eastAsia"/>
          <w:szCs w:val="21"/>
        </w:rPr>
        <w:t>内交货，并安装调试合格。</w:t>
      </w:r>
    </w:p>
    <w:p w14:paraId="4E4387BD">
      <w:pPr>
        <w:shd w:val="clear" w:color="auto" w:fill="FFFFFF"/>
        <w:spacing w:line="360" w:lineRule="auto"/>
        <w:ind w:firstLine="420" w:firstLineChars="200"/>
        <w:jc w:val="left"/>
        <w:rPr>
          <w:szCs w:val="21"/>
        </w:rPr>
      </w:pPr>
      <w:r>
        <w:rPr>
          <w:rFonts w:hint="eastAsia"/>
          <w:szCs w:val="21"/>
        </w:rPr>
        <w:t>1.2交货地点：</w:t>
      </w:r>
      <w:r>
        <w:rPr>
          <w:rFonts w:hint="eastAsia" w:ascii="宋体" w:hAnsi="宋体" w:cs="宋体"/>
          <w:color w:val="000000"/>
          <w:kern w:val="0"/>
          <w:szCs w:val="21"/>
          <w:lang w:bidi="ar"/>
        </w:rPr>
        <w:t>中南大学</w:t>
      </w:r>
      <w:bookmarkStart w:id="0" w:name="_GoBack"/>
      <w:bookmarkEnd w:id="0"/>
    </w:p>
    <w:p w14:paraId="0FBB3601">
      <w:pPr>
        <w:shd w:val="clear" w:color="auto" w:fill="FFFFFF"/>
        <w:spacing w:line="360" w:lineRule="auto"/>
        <w:ind w:firstLine="420" w:firstLineChars="200"/>
        <w:jc w:val="left"/>
        <w:rPr>
          <w:szCs w:val="21"/>
        </w:rPr>
      </w:pPr>
      <w:r>
        <w:rPr>
          <w:rFonts w:hint="eastAsia"/>
          <w:szCs w:val="21"/>
        </w:rPr>
        <w:t>1.3付款要求：合同签订后7个工作日内，甲方支付合同金额30%作预付款。项目整体验收合格后</w:t>
      </w:r>
      <w:r>
        <w:rPr>
          <w:rFonts w:hint="eastAsia"/>
          <w:szCs w:val="21"/>
          <w:lang w:eastAsia="zh"/>
        </w:rPr>
        <w:t>1</w:t>
      </w:r>
      <w:r>
        <w:rPr>
          <w:rFonts w:hint="eastAsia"/>
          <w:szCs w:val="21"/>
        </w:rPr>
        <w:t>0个工作日内，乙方将合同金额的5%付至甲方指定的账号作为项目履约保证金。甲方向乙方一次性支付70%合同金额款，履约保证金验收合格一年期满无质量问题后一次性无息退还给乙方。甲方凭乙方提供的等额、法定增值税发票，向乙方付款。乙方延期提供发票，则甲方付款时间相应顺延。</w:t>
      </w:r>
    </w:p>
    <w:p w14:paraId="1C137DC3">
      <w:pPr>
        <w:shd w:val="clear" w:color="auto" w:fill="FFFFFF"/>
        <w:spacing w:line="360" w:lineRule="auto"/>
        <w:ind w:firstLine="420" w:firstLineChars="200"/>
        <w:jc w:val="left"/>
        <w:rPr>
          <w:szCs w:val="21"/>
        </w:rPr>
      </w:pPr>
      <w:r>
        <w:rPr>
          <w:rFonts w:hint="eastAsia"/>
          <w:szCs w:val="21"/>
        </w:rPr>
        <w:t>2、验收标准、质量保证</w:t>
      </w:r>
    </w:p>
    <w:p w14:paraId="32CC5A90">
      <w:pPr>
        <w:shd w:val="clear" w:color="auto" w:fill="FFFFFF"/>
        <w:spacing w:line="360" w:lineRule="auto"/>
        <w:ind w:firstLine="420" w:firstLineChars="200"/>
        <w:jc w:val="left"/>
        <w:rPr>
          <w:szCs w:val="21"/>
        </w:rPr>
      </w:pPr>
      <w:r>
        <w:rPr>
          <w:rFonts w:hint="eastAsia"/>
          <w:szCs w:val="21"/>
        </w:rPr>
        <w:t>2.1投标时，备注所投设备产品出厂时铭牌标注的实际名称。中标方提供的产品应是原装正品，符合国家质量检测标准，具有出厂证明供货函文件或国家鉴定合格证明文件。</w:t>
      </w:r>
    </w:p>
    <w:p w14:paraId="64BB0D0B">
      <w:pPr>
        <w:shd w:val="clear" w:color="auto" w:fill="FFFFFF"/>
        <w:spacing w:line="360" w:lineRule="auto"/>
        <w:ind w:firstLine="420" w:firstLineChars="200"/>
        <w:jc w:val="left"/>
        <w:rPr>
          <w:szCs w:val="21"/>
        </w:rPr>
      </w:pPr>
      <w:r>
        <w:rPr>
          <w:rFonts w:hint="eastAsia"/>
          <w:szCs w:val="21"/>
        </w:rPr>
        <w:t>2.2验收标准：原厂原包装，包装完好，设备外观无损；满足招标文件要求，符合用户使用的实际需求；设备清单与投标文件一致，技术参数按投标文件对应交付；</w:t>
      </w:r>
      <w:r>
        <w:rPr>
          <w:rFonts w:hint="eastAsia"/>
          <w:szCs w:val="21"/>
          <w:lang w:eastAsia="zh"/>
        </w:rPr>
        <w:t>合同产品及其各部件为全新的、未使用过的，合同产品中的软件部分（如有）无病毒、无明显错误，能够充分实现、提供、具备相关产品说明中描述的功能、特点、内容和标准等。</w:t>
      </w:r>
      <w:r>
        <w:rPr>
          <w:rFonts w:hint="eastAsia"/>
          <w:szCs w:val="21"/>
        </w:rPr>
        <w:t>实际使用后，必须运行稳定。</w:t>
      </w:r>
    </w:p>
    <w:p w14:paraId="76F04AD1">
      <w:pPr>
        <w:shd w:val="clear" w:color="auto" w:fill="FFFFFF"/>
        <w:spacing w:line="360" w:lineRule="auto"/>
        <w:ind w:firstLine="420" w:firstLineChars="200"/>
        <w:jc w:val="left"/>
        <w:rPr>
          <w:szCs w:val="21"/>
        </w:rPr>
      </w:pPr>
      <w:r>
        <w:rPr>
          <w:rFonts w:hint="eastAsia"/>
          <w:szCs w:val="21"/>
        </w:rPr>
        <w:t>2.3项目验收国家有强制性规定的，按国家规定执行。验收过程中产生纠纷的，由质量技术监督部门认定的检测机构检测，如为中标方原因造成的，由中标方承担检测费用；否则，由采购人承担。项目验收不合格，由中标方返工直至合格，有关返工、再行验收，以及给采购人造成的损失等费用由中标方承担。连续两次项目验收不合格的，采购人可终止合同，另行按规定选择其他供应商采购，由此带来的一切损失由中标方承担。</w:t>
      </w:r>
    </w:p>
    <w:p w14:paraId="7B731C5F">
      <w:pPr>
        <w:shd w:val="clear" w:color="auto" w:fill="FFFFFF"/>
        <w:spacing w:line="360" w:lineRule="auto"/>
        <w:ind w:firstLine="420" w:firstLineChars="200"/>
        <w:jc w:val="left"/>
        <w:rPr>
          <w:szCs w:val="21"/>
        </w:rPr>
      </w:pPr>
      <w:r>
        <w:rPr>
          <w:rFonts w:hint="eastAsia"/>
          <w:szCs w:val="21"/>
        </w:rPr>
        <w:t>2.4 中标方需在中标公示五个工作日内按采购方要求提供相应产品到甲方指定地点核对功能参数，并提供招标要求中的检测报告等资料原件现场核对，如有不满足招标要求的情况，取消中标方的中标资格，相应后果由中标方自行承担。</w:t>
      </w:r>
    </w:p>
    <w:p w14:paraId="0A1470CF">
      <w:pPr>
        <w:shd w:val="clear" w:color="auto" w:fill="FFFFFF"/>
        <w:spacing w:line="360" w:lineRule="auto"/>
        <w:ind w:firstLine="420" w:firstLineChars="200"/>
        <w:jc w:val="left"/>
        <w:rPr>
          <w:szCs w:val="21"/>
        </w:rPr>
      </w:pPr>
      <w:r>
        <w:rPr>
          <w:rFonts w:hint="eastAsia"/>
          <w:szCs w:val="21"/>
        </w:rPr>
        <w:t>2.5免费质保期：软硬件设备免费至少质保</w:t>
      </w:r>
      <w:r>
        <w:rPr>
          <w:rFonts w:hint="eastAsia"/>
          <w:szCs w:val="21"/>
          <w:lang w:eastAsia="zh"/>
        </w:rPr>
        <w:t>【四】</w:t>
      </w:r>
      <w:r>
        <w:rPr>
          <w:rFonts w:hint="eastAsia"/>
          <w:szCs w:val="21"/>
        </w:rPr>
        <w:t>年，中标方承诺的质保期长于招标文件规定时，以中标方的投标文件为准。超出生产厂家正常保修范围的，中标方需向生产厂家单独购买的，不能在投标报价中单独列支。如生产厂家质保期优于招标文件规定的，按生产厂家的质保承诺提供质保服务，中标人在中标公示三个工作日内需要提供核心产品的原厂售后承诺函原件。</w:t>
      </w:r>
    </w:p>
    <w:p w14:paraId="4D387842">
      <w:pPr>
        <w:shd w:val="clear" w:color="auto" w:fill="FFFFFF"/>
        <w:spacing w:line="360" w:lineRule="auto"/>
        <w:ind w:firstLine="420" w:firstLineChars="200"/>
        <w:jc w:val="left"/>
        <w:rPr>
          <w:szCs w:val="21"/>
        </w:rPr>
      </w:pPr>
      <w:r>
        <w:rPr>
          <w:rFonts w:hint="eastAsia"/>
          <w:szCs w:val="21"/>
        </w:rPr>
        <w:t>2.6质保内免费上门保修更换，同时如果任何零配件损坏，中标人免费更换和安装一个设备原厂的相关配件，质保期间内不收取维修费、零配件和材料费等，对于同一部位出现 2 次以上故障，中标人应当免费更换该部件。质保期自设备安装结束，验收合格后正常运行时开始计算。超出免费质保期后，乙方支持终身维修，承诺维修时只收取部件的实际成本费。</w:t>
      </w:r>
    </w:p>
    <w:p w14:paraId="0A6A6BA0">
      <w:pPr>
        <w:shd w:val="clear" w:color="auto" w:fill="FFFFFF"/>
        <w:spacing w:line="360" w:lineRule="auto"/>
        <w:ind w:firstLine="420" w:firstLineChars="200"/>
        <w:jc w:val="left"/>
        <w:rPr>
          <w:szCs w:val="21"/>
          <w:lang w:eastAsia="zh"/>
        </w:rPr>
      </w:pPr>
      <w:r>
        <w:rPr>
          <w:rFonts w:hint="eastAsia"/>
          <w:szCs w:val="21"/>
          <w:lang w:eastAsia="zh"/>
        </w:rPr>
        <w:t>2.7 本合同所包括的软件产品乙方均应提供软件版权所有人颁发的永久免费使用许可文件，在硬件支持的前提下，终身免费为采购人用户提供软件升级服务。</w:t>
      </w:r>
    </w:p>
    <w:p w14:paraId="2FAF7EF7">
      <w:pPr>
        <w:shd w:val="clear" w:color="auto" w:fill="FFFFFF"/>
        <w:spacing w:line="360" w:lineRule="auto"/>
        <w:ind w:firstLine="420" w:firstLineChars="200"/>
        <w:jc w:val="left"/>
        <w:rPr>
          <w:szCs w:val="21"/>
        </w:rPr>
      </w:pPr>
      <w:r>
        <w:rPr>
          <w:rFonts w:hint="eastAsia"/>
          <w:szCs w:val="21"/>
        </w:rPr>
        <w:t>3、售后服务</w:t>
      </w:r>
    </w:p>
    <w:p w14:paraId="7AA69927">
      <w:pPr>
        <w:shd w:val="clear" w:color="auto" w:fill="FFFFFF"/>
        <w:spacing w:line="360" w:lineRule="auto"/>
        <w:ind w:firstLine="420" w:firstLineChars="200"/>
        <w:jc w:val="left"/>
        <w:rPr>
          <w:szCs w:val="21"/>
        </w:rPr>
      </w:pPr>
      <w:r>
        <w:rPr>
          <w:rFonts w:hint="eastAsia"/>
          <w:szCs w:val="21"/>
        </w:rPr>
        <w:t>3.1维护要求：提供定期维护计划、对采购人不定期维护要求的响应措施、对用户修改设计要求的响应措施。</w:t>
      </w:r>
    </w:p>
    <w:p w14:paraId="644E5BAF">
      <w:pPr>
        <w:shd w:val="clear" w:color="auto" w:fill="FFFFFF"/>
        <w:spacing w:line="360" w:lineRule="auto"/>
        <w:ind w:firstLine="420" w:firstLineChars="200"/>
        <w:jc w:val="left"/>
        <w:rPr>
          <w:szCs w:val="21"/>
        </w:rPr>
      </w:pPr>
      <w:r>
        <w:rPr>
          <w:rFonts w:hint="eastAsia"/>
          <w:szCs w:val="21"/>
        </w:rPr>
        <w:t>3.2服务响应时间要求：提供7×</w:t>
      </w:r>
      <w:r>
        <w:rPr>
          <w:rFonts w:hint="eastAsia"/>
          <w:szCs w:val="21"/>
          <w:lang w:eastAsia="zh"/>
        </w:rPr>
        <w:t>24</w:t>
      </w:r>
      <w:r>
        <w:rPr>
          <w:rFonts w:hint="eastAsia"/>
          <w:szCs w:val="21"/>
        </w:rPr>
        <w:t>小时的技术咨询服务，敏感时期、重大节假日提供技术人员值守服务；提供7×</w:t>
      </w:r>
      <w:r>
        <w:rPr>
          <w:rFonts w:hint="eastAsia"/>
          <w:szCs w:val="21"/>
          <w:lang w:eastAsia="zh"/>
        </w:rPr>
        <w:t>24</w:t>
      </w:r>
      <w:r>
        <w:rPr>
          <w:rFonts w:hint="eastAsia"/>
          <w:szCs w:val="21"/>
        </w:rPr>
        <w:t>小时的故障服务受理，对重大故障提供7×24小时的现场支援，一般故障提供5×8小时/2小时内现场支援，提出解决方案，并于2小时内修复，若现场不能修复应提供同等性能备用设备。</w:t>
      </w:r>
    </w:p>
    <w:p w14:paraId="2D2045C8">
      <w:pPr>
        <w:shd w:val="clear" w:color="auto" w:fill="FFFFFF"/>
        <w:spacing w:line="360" w:lineRule="auto"/>
        <w:ind w:firstLine="420" w:firstLineChars="200"/>
        <w:jc w:val="left"/>
        <w:rPr>
          <w:szCs w:val="21"/>
        </w:rPr>
      </w:pPr>
      <w:r>
        <w:rPr>
          <w:rFonts w:hint="eastAsia"/>
          <w:szCs w:val="21"/>
        </w:rPr>
        <w:t>3.3质保期内出现任何质量问题（人为破坏或自然灾害等不可抗力除外），由中标方负责全免费（免全部工时费、材料费、管理费、财务费等）更换或维修。质保期满后，中标方</w:t>
      </w:r>
      <w:r>
        <w:rPr>
          <w:rFonts w:hint="eastAsia"/>
          <w:szCs w:val="21"/>
          <w:lang w:eastAsia="zh"/>
        </w:rPr>
        <w:t>提供5×8小时的免费电话技术咨询，</w:t>
      </w:r>
      <w:r>
        <w:rPr>
          <w:rFonts w:hint="eastAsia"/>
          <w:szCs w:val="21"/>
        </w:rPr>
        <w:t>无论采购人是否另行选择维保供应商，中标方应及时优惠提供所需的备品备件。</w:t>
      </w:r>
    </w:p>
    <w:p w14:paraId="4A21D123">
      <w:pPr>
        <w:shd w:val="clear" w:color="auto" w:fill="FFFFFF"/>
        <w:spacing w:line="360" w:lineRule="auto"/>
        <w:ind w:firstLine="420" w:firstLineChars="200"/>
        <w:jc w:val="left"/>
        <w:rPr>
          <w:szCs w:val="21"/>
        </w:rPr>
      </w:pPr>
      <w:r>
        <w:rPr>
          <w:rFonts w:hint="eastAsia"/>
          <w:szCs w:val="21"/>
        </w:rPr>
        <w:t>3.4同批设备中，若同一台设备类似故障发生两次以上，或者多台设备出现大面积相同故障现象，无条件免费更换涉及的整机。</w:t>
      </w:r>
    </w:p>
    <w:p w14:paraId="0E61107F">
      <w:pPr>
        <w:shd w:val="clear" w:color="auto" w:fill="FFFFFF"/>
        <w:spacing w:line="360" w:lineRule="auto"/>
        <w:ind w:firstLine="420" w:firstLineChars="200"/>
        <w:jc w:val="left"/>
        <w:rPr>
          <w:szCs w:val="21"/>
        </w:rPr>
      </w:pPr>
      <w:r>
        <w:rPr>
          <w:rFonts w:hint="eastAsia"/>
          <w:szCs w:val="21"/>
        </w:rPr>
        <w:t>3.5配件及耗材要求：所有新设备、利旧设备除原机配件以外，如还需辅材配件及耗材，由中标方免费提供。</w:t>
      </w:r>
    </w:p>
    <w:p w14:paraId="3CC29760">
      <w:pPr>
        <w:shd w:val="clear" w:color="auto" w:fill="FFFFFF"/>
        <w:spacing w:line="360" w:lineRule="auto"/>
        <w:ind w:firstLine="420" w:firstLineChars="200"/>
        <w:jc w:val="left"/>
        <w:rPr>
          <w:szCs w:val="21"/>
        </w:rPr>
      </w:pPr>
      <w:r>
        <w:rPr>
          <w:rFonts w:hint="eastAsia"/>
          <w:szCs w:val="21"/>
        </w:rPr>
        <w:t>3.6必须具备良好的服务能力。服务要求：接到报修，要求维修人员 2 小时以内解决故障。对重大故障提供7×24小时的现场支援，一般故障提供5×8小时/2小时内现场支援。免费提供所有故障设备硬件的更换、维修，免费提供软件维护、升级等技术支持服务。</w:t>
      </w:r>
    </w:p>
    <w:p w14:paraId="10362368">
      <w:pPr>
        <w:shd w:val="clear" w:color="auto" w:fill="FFFFFF"/>
        <w:spacing w:line="360" w:lineRule="auto"/>
        <w:ind w:firstLine="420" w:firstLineChars="200"/>
        <w:jc w:val="left"/>
        <w:rPr>
          <w:szCs w:val="21"/>
        </w:rPr>
      </w:pPr>
      <w:r>
        <w:rPr>
          <w:rFonts w:hint="eastAsia"/>
          <w:szCs w:val="21"/>
          <w:lang w:eastAsia="zh"/>
        </w:rPr>
        <w:t xml:space="preserve">3.7 </w:t>
      </w:r>
      <w:r>
        <w:rPr>
          <w:rFonts w:hint="eastAsia"/>
          <w:szCs w:val="21"/>
        </w:rPr>
        <w:t>如因故不能按期完成保修任务时，应事先与用户协商征得用户同意，并临时提供同等性能设备替换，不能影响学校教学工作，否则有权追究违约责任。每学期需对设备系统进行例行检修保养三次（学期开始，期中，期末），后期若其他教学设备改造项目中涉及安装调试问题，本次中标公司需免费协助支持。</w:t>
      </w:r>
    </w:p>
    <w:p w14:paraId="07F904FB">
      <w:pPr>
        <w:shd w:val="clear" w:color="auto" w:fill="FFFFFF"/>
        <w:spacing w:line="360" w:lineRule="auto"/>
        <w:ind w:firstLine="420" w:firstLineChars="200"/>
        <w:jc w:val="left"/>
        <w:rPr>
          <w:szCs w:val="21"/>
        </w:rPr>
      </w:pPr>
      <w:r>
        <w:rPr>
          <w:rFonts w:hint="eastAsia"/>
          <w:szCs w:val="21"/>
        </w:rPr>
        <w:t>4、安装调试</w:t>
      </w:r>
    </w:p>
    <w:p w14:paraId="7740CD7F">
      <w:pPr>
        <w:shd w:val="clear" w:color="auto" w:fill="FFFFFF"/>
        <w:spacing w:line="360" w:lineRule="auto"/>
        <w:ind w:firstLine="420" w:firstLineChars="200"/>
        <w:jc w:val="left"/>
        <w:rPr>
          <w:szCs w:val="21"/>
        </w:rPr>
      </w:pPr>
      <w:r>
        <w:rPr>
          <w:rFonts w:hint="eastAsia"/>
          <w:szCs w:val="21"/>
        </w:rPr>
        <w:t>4.1 设备安装要求，按照国家相关行业规范标准进行免费安装，符合国家或行业质量检验标准器。</w:t>
      </w:r>
    </w:p>
    <w:p w14:paraId="0C1889CF">
      <w:pPr>
        <w:shd w:val="clear" w:color="auto" w:fill="FFFFFF"/>
        <w:spacing w:line="360" w:lineRule="auto"/>
        <w:ind w:firstLine="420" w:firstLineChars="200"/>
        <w:jc w:val="left"/>
        <w:rPr>
          <w:szCs w:val="21"/>
        </w:rPr>
      </w:pPr>
      <w:r>
        <w:rPr>
          <w:rFonts w:hint="eastAsia"/>
          <w:szCs w:val="21"/>
        </w:rPr>
        <w:t>（1）中标方负责产品到实施地点的全部运输，包括装卸及现场搬运等，负责新购置和利旧设备（拆卸后待安装）在实施地点的保管，直至项目验收合格，此项目为交钥匙工程，报价包含项目所有费用。中标方并且需要负责其派出的项目实施人员的人身意外保险。</w:t>
      </w:r>
    </w:p>
    <w:p w14:paraId="246B89AA">
      <w:pPr>
        <w:shd w:val="clear" w:color="auto" w:fill="FFFFFF"/>
        <w:spacing w:line="360" w:lineRule="auto"/>
        <w:ind w:firstLine="420" w:firstLineChars="200"/>
        <w:jc w:val="left"/>
        <w:rPr>
          <w:szCs w:val="21"/>
        </w:rPr>
      </w:pPr>
      <w:r>
        <w:rPr>
          <w:rFonts w:hint="eastAsia"/>
          <w:szCs w:val="21"/>
        </w:rPr>
        <w:t>（2）在安装新设备前，中标方须与用户充分沟通，对旧设备进行规范拆除清运，旧设备搬运至指定地点，需利旧设备按照甲方要求再次安装至指定地点，并免费提供安装调试服务。</w:t>
      </w:r>
    </w:p>
    <w:p w14:paraId="4C8D12D4">
      <w:pPr>
        <w:shd w:val="clear" w:color="auto" w:fill="FFFFFF"/>
        <w:spacing w:line="360" w:lineRule="auto"/>
        <w:ind w:firstLine="420" w:firstLineChars="200"/>
        <w:jc w:val="left"/>
        <w:rPr>
          <w:szCs w:val="21"/>
        </w:rPr>
      </w:pPr>
      <w:r>
        <w:rPr>
          <w:rFonts w:hint="eastAsia"/>
          <w:szCs w:val="21"/>
        </w:rPr>
        <w:t>4.2 中标方须在项目实施过程中须加强项目实施的组织管理，所有人员应遵守学校有关规章制度。</w:t>
      </w:r>
    </w:p>
    <w:p w14:paraId="5B182136">
      <w:pPr>
        <w:shd w:val="clear" w:color="auto" w:fill="FFFFFF"/>
        <w:spacing w:line="360" w:lineRule="auto"/>
        <w:ind w:firstLine="420" w:firstLineChars="200"/>
        <w:jc w:val="left"/>
        <w:rPr>
          <w:szCs w:val="21"/>
        </w:rPr>
      </w:pPr>
      <w:r>
        <w:rPr>
          <w:rFonts w:hint="eastAsia"/>
          <w:szCs w:val="21"/>
        </w:rPr>
        <w:t>4.3 项目完成后，中标方应将项目有关的全部资料，包括但不限于产品资料、技术文档等移交采购人。</w:t>
      </w:r>
    </w:p>
    <w:p w14:paraId="47BEF86C">
      <w:pPr>
        <w:shd w:val="clear" w:color="auto" w:fill="FFFFFF"/>
        <w:spacing w:line="360" w:lineRule="auto"/>
        <w:ind w:firstLine="420" w:firstLineChars="200"/>
        <w:jc w:val="left"/>
        <w:rPr>
          <w:szCs w:val="21"/>
        </w:rPr>
      </w:pPr>
      <w:r>
        <w:rPr>
          <w:rFonts w:hint="eastAsia"/>
          <w:szCs w:val="21"/>
        </w:rPr>
        <w:t>5、培训</w:t>
      </w:r>
    </w:p>
    <w:p w14:paraId="044D1EFB">
      <w:pPr>
        <w:shd w:val="clear" w:color="auto" w:fill="FFFFFF"/>
        <w:spacing w:line="360" w:lineRule="auto"/>
        <w:ind w:firstLine="420" w:firstLineChars="200"/>
        <w:jc w:val="left"/>
        <w:rPr>
          <w:szCs w:val="21"/>
        </w:rPr>
      </w:pPr>
      <w:r>
        <w:rPr>
          <w:rFonts w:hint="eastAsia"/>
          <w:szCs w:val="21"/>
        </w:rPr>
        <w:t>5.1</w:t>
      </w:r>
      <w:r>
        <w:rPr>
          <w:rFonts w:hint="eastAsia"/>
          <w:szCs w:val="21"/>
          <w:lang w:eastAsia="zh"/>
        </w:rPr>
        <w:t xml:space="preserve"> </w:t>
      </w:r>
      <w:r>
        <w:rPr>
          <w:rFonts w:hint="eastAsia"/>
          <w:szCs w:val="21"/>
        </w:rPr>
        <w:t>仪器安装调试完，验收前，中标人工程师在现场就仪器的维护、基本操作、日常保养、潜在故障分析等各方面提供2人以上免费初步培训，培训周期不少于5天。在初级培训结束后，待采购人使用一段时间，中标人派遣专门的应用工程师到客户现场进行高级应用培训</w:t>
      </w:r>
      <w:r>
        <w:rPr>
          <w:rFonts w:hint="eastAsia"/>
          <w:szCs w:val="21"/>
          <w:lang w:eastAsia="zh"/>
        </w:rPr>
        <w:t>，</w:t>
      </w:r>
      <w:r>
        <w:rPr>
          <w:rFonts w:hint="eastAsia"/>
          <w:szCs w:val="21"/>
        </w:rPr>
        <w:t>2人以上免费培训时间不少于5天，具体培训内容与日期由双方协商确定。</w:t>
      </w:r>
      <w:r>
        <w:rPr>
          <w:rFonts w:hint="eastAsia"/>
          <w:szCs w:val="21"/>
          <w:lang w:eastAsia="zh"/>
        </w:rPr>
        <w:t>培训内容</w:t>
      </w:r>
      <w:r>
        <w:rPr>
          <w:rFonts w:hint="eastAsia"/>
          <w:szCs w:val="21"/>
        </w:rPr>
        <w:t>涵盖机器人的操作、二次开发平台搭建，SDK资源包部署等内容。培训结束后，用户能够熟练操作机器人设备，独立开展科研工作。</w:t>
      </w:r>
    </w:p>
    <w:p w14:paraId="36EB6AAE">
      <w:pPr>
        <w:shd w:val="clear" w:color="auto" w:fill="FFFFFF"/>
        <w:spacing w:line="360" w:lineRule="auto"/>
        <w:ind w:firstLine="420" w:firstLineChars="200"/>
        <w:jc w:val="left"/>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2AF5E">
    <w:pPr>
      <w:snapToGrid w:val="0"/>
      <w:jc w:val="left"/>
      <w:rPr>
        <w:kern w:val="0"/>
        <w:sz w:val="18"/>
        <w:szCs w:val="18"/>
      </w:rPr>
    </w:pPr>
    <w:r>
      <w:rPr>
        <w:kern w:val="0"/>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2B16B5">
                          <w:pPr>
                            <w:snapToGrid w:val="0"/>
                            <w:rPr>
                              <w:rFonts w:ascii="宋体" w:hAnsi="宋体"/>
                              <w:szCs w:val="21"/>
                            </w:rPr>
                          </w:pPr>
                          <w:r>
                            <w:rPr>
                              <w:rFonts w:hint="eastAsia" w:ascii="宋体" w:hAnsi="宋体"/>
                              <w:szCs w:val="21"/>
                            </w:rPr>
                            <w:fldChar w:fldCharType="begin"/>
                          </w:r>
                          <w:r>
                            <w:rPr>
                              <w:rFonts w:hint="eastAsia" w:ascii="宋体" w:hAnsi="宋体"/>
                              <w:szCs w:val="21"/>
                            </w:rPr>
                            <w:instrText xml:space="preserve"> PAGE  \* MERGEFORMAT </w:instrText>
                          </w:r>
                          <w:r>
                            <w:rPr>
                              <w:rFonts w:hint="eastAsia" w:ascii="宋体" w:hAnsi="宋体"/>
                              <w:szCs w:val="21"/>
                            </w:rPr>
                            <w:fldChar w:fldCharType="separate"/>
                          </w:r>
                          <w:r>
                            <w:rPr>
                              <w:rFonts w:ascii="宋体" w:hAnsi="宋体"/>
                              <w:szCs w:val="21"/>
                            </w:rPr>
                            <w:t>7</w:t>
                          </w:r>
                          <w:r>
                            <w:rPr>
                              <w:rFonts w:hint="eastAsia" w:ascii="宋体" w:hAnsi="宋体"/>
                              <w:szCs w:val="21"/>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752B16B5">
                    <w:pPr>
                      <w:snapToGrid w:val="0"/>
                      <w:rPr>
                        <w:rFonts w:ascii="宋体" w:hAnsi="宋体"/>
                        <w:szCs w:val="21"/>
                      </w:rPr>
                    </w:pPr>
                    <w:r>
                      <w:rPr>
                        <w:rFonts w:hint="eastAsia" w:ascii="宋体" w:hAnsi="宋体"/>
                        <w:szCs w:val="21"/>
                      </w:rPr>
                      <w:fldChar w:fldCharType="begin"/>
                    </w:r>
                    <w:r>
                      <w:rPr>
                        <w:rFonts w:hint="eastAsia" w:ascii="宋体" w:hAnsi="宋体"/>
                        <w:szCs w:val="21"/>
                      </w:rPr>
                      <w:instrText xml:space="preserve"> PAGE  \* MERGEFORMAT </w:instrText>
                    </w:r>
                    <w:r>
                      <w:rPr>
                        <w:rFonts w:hint="eastAsia" w:ascii="宋体" w:hAnsi="宋体"/>
                        <w:szCs w:val="21"/>
                      </w:rPr>
                      <w:fldChar w:fldCharType="separate"/>
                    </w:r>
                    <w:r>
                      <w:rPr>
                        <w:rFonts w:ascii="宋体" w:hAnsi="宋体"/>
                        <w:szCs w:val="21"/>
                      </w:rPr>
                      <w:t>7</w:t>
                    </w:r>
                    <w:r>
                      <w:rPr>
                        <w:rFonts w:hint="eastAsia" w:ascii="宋体" w:hAnsi="宋体"/>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23D03">
    <w:pPr>
      <w:snapToGrid w:val="0"/>
      <w:jc w:val="center"/>
      <w:rPr>
        <w:kern w:val="0"/>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954"/>
    <w:rsid w:val="00181A25"/>
    <w:rsid w:val="00330606"/>
    <w:rsid w:val="00407F23"/>
    <w:rsid w:val="00440954"/>
    <w:rsid w:val="004D12E7"/>
    <w:rsid w:val="00552C50"/>
    <w:rsid w:val="00572213"/>
    <w:rsid w:val="0063665D"/>
    <w:rsid w:val="00653B8A"/>
    <w:rsid w:val="00730BE2"/>
    <w:rsid w:val="007A1D3E"/>
    <w:rsid w:val="007E1721"/>
    <w:rsid w:val="00857C84"/>
    <w:rsid w:val="00942669"/>
    <w:rsid w:val="00A403B2"/>
    <w:rsid w:val="00AE3C98"/>
    <w:rsid w:val="00B75419"/>
    <w:rsid w:val="00B9000F"/>
    <w:rsid w:val="00B93508"/>
    <w:rsid w:val="00C14EB7"/>
    <w:rsid w:val="00C639BC"/>
    <w:rsid w:val="00D20BF6"/>
    <w:rsid w:val="00D22F2C"/>
    <w:rsid w:val="00E12868"/>
    <w:rsid w:val="01735818"/>
    <w:rsid w:val="10F67FD8"/>
    <w:rsid w:val="13664CB9"/>
    <w:rsid w:val="14597BC7"/>
    <w:rsid w:val="162F0502"/>
    <w:rsid w:val="1F7F5266"/>
    <w:rsid w:val="20834165"/>
    <w:rsid w:val="26FE0E41"/>
    <w:rsid w:val="2C3F32B8"/>
    <w:rsid w:val="2FC75471"/>
    <w:rsid w:val="30DD1DBE"/>
    <w:rsid w:val="33A6367D"/>
    <w:rsid w:val="35D877DE"/>
    <w:rsid w:val="3FE760C2"/>
    <w:rsid w:val="3FFF2BF4"/>
    <w:rsid w:val="42B17BC8"/>
    <w:rsid w:val="42DF5FDB"/>
    <w:rsid w:val="46752F47"/>
    <w:rsid w:val="50D4387B"/>
    <w:rsid w:val="53B634C5"/>
    <w:rsid w:val="55024486"/>
    <w:rsid w:val="566A6011"/>
    <w:rsid w:val="5AA91A93"/>
    <w:rsid w:val="619D620B"/>
    <w:rsid w:val="6D062D03"/>
    <w:rsid w:val="74F51705"/>
    <w:rsid w:val="7BAD01AF"/>
    <w:rsid w:val="7BFFB84A"/>
    <w:rsid w:val="7F052EDF"/>
    <w:rsid w:val="7F956EEB"/>
    <w:rsid w:val="7FE15A2C"/>
    <w:rsid w:val="7FFC840D"/>
    <w:rsid w:val="963F16C5"/>
    <w:rsid w:val="99FD3A60"/>
    <w:rsid w:val="BBDBF63D"/>
    <w:rsid w:val="BBFB3A4B"/>
    <w:rsid w:val="DC7A7E77"/>
    <w:rsid w:val="EBBE39F1"/>
    <w:rsid w:val="FDF25235"/>
    <w:rsid w:val="FDFF7970"/>
    <w:rsid w:val="FE1FFDF1"/>
    <w:rsid w:val="FF3085A3"/>
    <w:rsid w:val="FFF13DA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
    <w:qFormat/>
    <w:uiPriority w:val="0"/>
    <w:pPr>
      <w:keepNext/>
      <w:jc w:val="center"/>
      <w:outlineLvl w:val="0"/>
    </w:pPr>
    <w:rPr>
      <w:b/>
      <w:bCs/>
      <w:sz w:val="24"/>
      <w:szCs w:val="20"/>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qFormat/>
    <w:uiPriority w:val="0"/>
    <w:pPr>
      <w:spacing w:after="120"/>
      <w:ind w:left="420" w:leftChars="200"/>
    </w:pPr>
  </w:style>
  <w:style w:type="paragraph" w:styleId="4">
    <w:name w:val="Plain Text"/>
    <w:basedOn w:val="1"/>
    <w:qFormat/>
    <w:uiPriority w:val="0"/>
    <w:rPr>
      <w:rFonts w:ascii="宋体" w:hAnsi="Courier New" w:cs="Courier New"/>
      <w:szCs w:val="21"/>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5"/>
    <w:qFormat/>
    <w:uiPriority w:val="0"/>
    <w:pPr>
      <w:tabs>
        <w:tab w:val="center" w:pos="4153"/>
        <w:tab w:val="right" w:pos="8306"/>
      </w:tabs>
      <w:snapToGrid w:val="0"/>
      <w:jc w:val="center"/>
    </w:pPr>
    <w:rPr>
      <w:sz w:val="18"/>
      <w:szCs w:val="18"/>
    </w:rPr>
  </w:style>
  <w:style w:type="paragraph" w:styleId="7">
    <w:name w:val="Body Text First Indent 2"/>
    <w:basedOn w:val="3"/>
    <w:qFormat/>
    <w:uiPriority w:val="0"/>
    <w:pPr>
      <w:ind w:firstLine="420" w:firstLineChars="200"/>
    </w:p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qFormat/>
    <w:uiPriority w:val="0"/>
    <w:rPr>
      <w:sz w:val="21"/>
      <w:szCs w:val="21"/>
    </w:rPr>
  </w:style>
  <w:style w:type="paragraph" w:customStyle="1" w:styleId="12">
    <w:name w:val="1"/>
    <w:basedOn w:val="1"/>
    <w:qFormat/>
    <w:uiPriority w:val="0"/>
    <w:pPr>
      <w:spacing w:afterLines="50" w:line="360" w:lineRule="auto"/>
    </w:pPr>
    <w:rPr>
      <w:rFonts w:ascii="宋体" w:hAnsi="宋体"/>
      <w:b/>
      <w:sz w:val="30"/>
      <w:szCs w:val="21"/>
    </w:rPr>
  </w:style>
  <w:style w:type="character" w:customStyle="1" w:styleId="13">
    <w:name w:val="标题 1 字符"/>
    <w:link w:val="2"/>
    <w:qFormat/>
    <w:uiPriority w:val="0"/>
    <w:rPr>
      <w:b/>
      <w:bCs/>
      <w:sz w:val="24"/>
      <w:szCs w:val="20"/>
    </w:rPr>
  </w:style>
  <w:style w:type="paragraph" w:customStyle="1" w:styleId="14">
    <w:name w:val="_Style 3"/>
    <w:basedOn w:val="3"/>
    <w:next w:val="7"/>
    <w:qFormat/>
    <w:uiPriority w:val="0"/>
    <w:pPr>
      <w:ind w:firstLine="200" w:firstLineChars="200"/>
    </w:pPr>
    <w:rPr>
      <w:rFonts w:ascii="Calibri" w:hAnsi="Calibri"/>
    </w:rPr>
  </w:style>
  <w:style w:type="character" w:customStyle="1" w:styleId="15">
    <w:name w:val="页眉 字符"/>
    <w:basedOn w:val="10"/>
    <w:link w:val="6"/>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2388</Words>
  <Characters>2445</Characters>
  <Lines>17</Lines>
  <Paragraphs>4</Paragraphs>
  <TotalTime>8</TotalTime>
  <ScaleCrop>false</ScaleCrop>
  <LinksUpToDate>false</LinksUpToDate>
  <CharactersWithSpaces>2456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2025-05-27T17:17:00Z</dcterms:created>
  <dc:creator>Administrator</dc:creator>
  <cp:lastModifiedBy>段池</cp:lastModifiedBy>
  <dcterms:modified xsi:type="dcterms:W3CDTF">2025-11-24T09:32:34Z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2B96E73FA03E68FA47D5066941872799_43</vt:lpwstr>
  </property>
</Properties>
</file>