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A760A">
      <w:pPr>
        <w:jc w:val="center"/>
        <w:rPr>
          <w:rFonts w:ascii="宋体" w:hAnsi="宋体" w:cs="宋体"/>
          <w:b/>
          <w:bCs/>
          <w:sz w:val="28"/>
          <w:szCs w:val="28"/>
        </w:rPr>
      </w:pPr>
      <w:r>
        <w:rPr>
          <w:rFonts w:hint="eastAsia" w:ascii="宋体" w:hAnsi="宋体" w:cs="宋体"/>
          <w:b/>
          <w:bCs/>
          <w:sz w:val="28"/>
          <w:szCs w:val="28"/>
        </w:rPr>
        <w:t>第二节 技术要求</w:t>
      </w:r>
    </w:p>
    <w:tbl>
      <w:tblPr>
        <w:tblStyle w:val="3"/>
        <w:tblW w:w="9980" w:type="dxa"/>
        <w:tblInd w:w="-401" w:type="dxa"/>
        <w:tblLayout w:type="fixed"/>
        <w:tblCellMar>
          <w:top w:w="0" w:type="dxa"/>
          <w:left w:w="108" w:type="dxa"/>
          <w:bottom w:w="0" w:type="dxa"/>
          <w:right w:w="108" w:type="dxa"/>
        </w:tblCellMar>
      </w:tblPr>
      <w:tblGrid>
        <w:gridCol w:w="513"/>
        <w:gridCol w:w="1618"/>
        <w:gridCol w:w="7849"/>
      </w:tblGrid>
      <w:tr w14:paraId="6BF32660">
        <w:tblPrEx>
          <w:tblCellMar>
            <w:top w:w="0" w:type="dxa"/>
            <w:left w:w="108" w:type="dxa"/>
            <w:bottom w:w="0" w:type="dxa"/>
            <w:right w:w="108" w:type="dxa"/>
          </w:tblCellMar>
        </w:tblPrEx>
        <w:trPr>
          <w:trHeight w:val="660" w:hRule="atLeast"/>
        </w:trPr>
        <w:tc>
          <w:tcPr>
            <w:tcW w:w="513" w:type="dxa"/>
            <w:tcBorders>
              <w:top w:val="single" w:color="000000" w:sz="4" w:space="0"/>
              <w:left w:val="single" w:color="000000" w:sz="4" w:space="0"/>
              <w:bottom w:val="single" w:color="000000" w:sz="4" w:space="0"/>
              <w:right w:val="single" w:color="000000" w:sz="4" w:space="0"/>
            </w:tcBorders>
            <w:vAlign w:val="center"/>
          </w:tcPr>
          <w:p w14:paraId="1E19DB15">
            <w:pPr>
              <w:rPr>
                <w:rFonts w:ascii="宋体" w:hAnsi="宋体" w:cs="宋体"/>
                <w:color w:val="auto"/>
                <w:szCs w:val="21"/>
                <w:highlight w:val="none"/>
              </w:rPr>
            </w:pPr>
            <w:r>
              <w:rPr>
                <w:rFonts w:hint="eastAsia" w:ascii="宋体" w:hAnsi="宋体" w:cs="宋体"/>
                <w:color w:val="auto"/>
                <w:szCs w:val="21"/>
                <w:highlight w:val="none"/>
                <w:lang w:bidi="ar"/>
              </w:rPr>
              <w:t>序号</w:t>
            </w:r>
          </w:p>
        </w:tc>
        <w:tc>
          <w:tcPr>
            <w:tcW w:w="1618" w:type="dxa"/>
            <w:tcBorders>
              <w:top w:val="single" w:color="000000" w:sz="4" w:space="0"/>
              <w:left w:val="single" w:color="000000" w:sz="4" w:space="0"/>
              <w:bottom w:val="single" w:color="000000" w:sz="4" w:space="0"/>
              <w:right w:val="single" w:color="000000" w:sz="4" w:space="0"/>
            </w:tcBorders>
            <w:vAlign w:val="center"/>
          </w:tcPr>
          <w:p w14:paraId="5920D916">
            <w:pPr>
              <w:rPr>
                <w:rFonts w:ascii="宋体" w:hAnsi="宋体" w:cs="宋体"/>
                <w:color w:val="auto"/>
                <w:szCs w:val="21"/>
                <w:highlight w:val="none"/>
              </w:rPr>
            </w:pPr>
            <w:r>
              <w:rPr>
                <w:rFonts w:hint="eastAsia" w:ascii="宋体" w:hAnsi="宋体" w:cs="宋体"/>
                <w:color w:val="auto"/>
                <w:szCs w:val="21"/>
                <w:highlight w:val="none"/>
                <w:lang w:bidi="ar"/>
              </w:rPr>
              <w:t>分项项目名称（标的名称）</w:t>
            </w:r>
          </w:p>
        </w:tc>
        <w:tc>
          <w:tcPr>
            <w:tcW w:w="7849" w:type="dxa"/>
            <w:tcBorders>
              <w:top w:val="single" w:color="000000" w:sz="4" w:space="0"/>
              <w:left w:val="single" w:color="000000" w:sz="4" w:space="0"/>
              <w:bottom w:val="single" w:color="000000" w:sz="4" w:space="0"/>
              <w:right w:val="single" w:color="000000" w:sz="4" w:space="0"/>
            </w:tcBorders>
            <w:vAlign w:val="center"/>
          </w:tcPr>
          <w:p w14:paraId="48B47C21">
            <w:pPr>
              <w:jc w:val="center"/>
              <w:rPr>
                <w:rFonts w:ascii="宋体" w:hAnsi="宋体" w:cs="宋体"/>
                <w:color w:val="auto"/>
                <w:szCs w:val="21"/>
                <w:highlight w:val="none"/>
              </w:rPr>
            </w:pPr>
            <w:r>
              <w:rPr>
                <w:rFonts w:hint="eastAsia" w:ascii="宋体" w:hAnsi="宋体" w:cs="宋体"/>
                <w:color w:val="auto"/>
                <w:szCs w:val="21"/>
                <w:highlight w:val="none"/>
                <w:lang w:bidi="ar"/>
              </w:rPr>
              <w:t>技术参数</w:t>
            </w:r>
          </w:p>
        </w:tc>
      </w:tr>
      <w:tr w14:paraId="6FD3A7EB">
        <w:tblPrEx>
          <w:tblCellMar>
            <w:top w:w="0" w:type="dxa"/>
            <w:left w:w="108" w:type="dxa"/>
            <w:bottom w:w="0" w:type="dxa"/>
            <w:right w:w="108" w:type="dxa"/>
          </w:tblCellMar>
        </w:tblPrEx>
        <w:trPr>
          <w:trHeight w:val="360" w:hRule="atLeast"/>
        </w:trPr>
        <w:tc>
          <w:tcPr>
            <w:tcW w:w="513" w:type="dxa"/>
            <w:tcBorders>
              <w:top w:val="single" w:color="000000" w:sz="4" w:space="0"/>
              <w:left w:val="single" w:color="000000" w:sz="4" w:space="0"/>
              <w:bottom w:val="single" w:color="000000" w:sz="4" w:space="0"/>
              <w:right w:val="single" w:color="000000" w:sz="4" w:space="0"/>
            </w:tcBorders>
            <w:vAlign w:val="center"/>
          </w:tcPr>
          <w:p w14:paraId="65ED7255">
            <w:pPr>
              <w:rPr>
                <w:rFonts w:ascii="宋体" w:hAnsi="宋体" w:cs="宋体"/>
                <w:color w:val="auto"/>
                <w:szCs w:val="21"/>
                <w:highlight w:val="none"/>
              </w:rPr>
            </w:pPr>
            <w:r>
              <w:rPr>
                <w:rFonts w:hint="eastAsia" w:ascii="宋体" w:hAnsi="宋体" w:cs="宋体"/>
                <w:color w:val="auto"/>
                <w:szCs w:val="21"/>
                <w:highlight w:val="none"/>
                <w:lang w:bidi="ar"/>
              </w:rPr>
              <w:t>1</w:t>
            </w:r>
          </w:p>
        </w:tc>
        <w:tc>
          <w:tcPr>
            <w:tcW w:w="1618" w:type="dxa"/>
            <w:tcBorders>
              <w:top w:val="single" w:color="000000" w:sz="4" w:space="0"/>
              <w:left w:val="single" w:color="000000" w:sz="4" w:space="0"/>
              <w:bottom w:val="single" w:color="000000" w:sz="4" w:space="0"/>
              <w:right w:val="single" w:color="000000" w:sz="4" w:space="0"/>
            </w:tcBorders>
            <w:vAlign w:val="center"/>
          </w:tcPr>
          <w:p w14:paraId="5E7197D9">
            <w:pPr>
              <w:rPr>
                <w:rFonts w:ascii="宋体" w:hAnsi="宋体" w:cs="宋体"/>
                <w:color w:val="auto"/>
                <w:szCs w:val="21"/>
                <w:highlight w:val="none"/>
              </w:rPr>
            </w:pPr>
            <w:r>
              <w:rPr>
                <w:rFonts w:hint="eastAsia" w:ascii="宋体" w:hAnsi="宋体" w:cs="宋体"/>
                <w:color w:val="auto"/>
                <w:szCs w:val="21"/>
                <w:highlight w:val="none"/>
                <w:lang w:bidi="ar"/>
              </w:rPr>
              <w:t>台式电脑1</w:t>
            </w:r>
          </w:p>
        </w:tc>
        <w:tc>
          <w:tcPr>
            <w:tcW w:w="7849" w:type="dxa"/>
            <w:tcBorders>
              <w:top w:val="single" w:color="000000" w:sz="4" w:space="0"/>
              <w:left w:val="single" w:color="000000" w:sz="4" w:space="0"/>
              <w:bottom w:val="single" w:color="000000" w:sz="4" w:space="0"/>
              <w:right w:val="single" w:color="000000" w:sz="4" w:space="0"/>
            </w:tcBorders>
            <w:vAlign w:val="center"/>
          </w:tcPr>
          <w:p w14:paraId="5A5C80FD">
            <w:pPr>
              <w:rPr>
                <w:rFonts w:ascii="宋体" w:hAnsi="宋体" w:cs="宋体"/>
                <w:color w:val="auto"/>
                <w:szCs w:val="21"/>
                <w:highlight w:val="none"/>
              </w:rPr>
            </w:pPr>
            <w:r>
              <w:rPr>
                <w:rFonts w:hint="eastAsia" w:ascii="宋体" w:hAnsi="宋体" w:cs="宋体"/>
                <w:color w:val="FF0000"/>
                <w:szCs w:val="21"/>
                <w:highlight w:val="none"/>
              </w:rPr>
              <w:t>1、</w:t>
            </w:r>
            <w:r>
              <w:rPr>
                <w:rFonts w:hint="eastAsia" w:ascii="宋体" w:hAnsi="宋体" w:cs="宋体"/>
                <w:color w:val="auto"/>
                <w:szCs w:val="21"/>
                <w:highlight w:val="none"/>
              </w:rPr>
              <w:t>CPU：64位处理器，核心数≥14；核心线程数≥20线程，支持同步多线程技术（如超线程）；基础频率≥2.5 GHz；最大频率≥4.70 GHz；制程≤10纳米，≥24MB三级缓存；支持DDR5内存；集成显卡；</w:t>
            </w:r>
          </w:p>
          <w:p w14:paraId="3DE003E1">
            <w:pPr>
              <w:rPr>
                <w:rFonts w:ascii="宋体" w:hAnsi="宋体" w:cs="宋体"/>
                <w:color w:val="auto"/>
                <w:szCs w:val="21"/>
                <w:highlight w:val="none"/>
              </w:rPr>
            </w:pPr>
            <w:r>
              <w:rPr>
                <w:rFonts w:hint="eastAsia" w:ascii="宋体" w:hAnsi="宋体" w:cs="宋体"/>
                <w:color w:val="FF0000"/>
                <w:szCs w:val="21"/>
                <w:highlight w:val="none"/>
              </w:rPr>
              <w:t>2、</w:t>
            </w:r>
            <w:r>
              <w:rPr>
                <w:rFonts w:hint="eastAsia" w:ascii="宋体" w:hAnsi="宋体" w:cs="宋体"/>
                <w:color w:val="auto"/>
                <w:szCs w:val="21"/>
                <w:highlight w:val="none"/>
              </w:rPr>
              <w:t>主板：PCIe通道≥24条，兼容PCIe 4.0协议；集成千兆/2.5G网卡，集成Wi-Fi</w:t>
            </w:r>
            <w:r>
              <w:rPr>
                <w:rFonts w:hint="eastAsia" w:ascii="宋体" w:hAnsi="宋体" w:cs="宋体"/>
                <w:color w:val="auto"/>
                <w:szCs w:val="21"/>
                <w:highlight w:val="none"/>
                <w:lang w:val="en-US" w:eastAsia="zh-CN"/>
              </w:rPr>
              <w:t xml:space="preserve"> 6E</w:t>
            </w:r>
            <w:r>
              <w:rPr>
                <w:rFonts w:hint="eastAsia" w:ascii="宋体" w:hAnsi="宋体" w:cs="宋体"/>
                <w:color w:val="auto"/>
                <w:szCs w:val="21"/>
                <w:highlight w:val="none"/>
              </w:rPr>
              <w:t xml:space="preserve"> 无线扩展标准；支持DDR5双通道内存，内存插槽满配时提供的最大容量≥128GB， USBType-C端口提供≥40Gbps的带宽性能；</w:t>
            </w:r>
          </w:p>
          <w:p w14:paraId="12CF0DA9">
            <w:pPr>
              <w:rPr>
                <w:rFonts w:ascii="宋体" w:hAnsi="宋体" w:cs="宋体"/>
                <w:color w:val="auto"/>
                <w:szCs w:val="21"/>
                <w:highlight w:val="none"/>
              </w:rPr>
            </w:pPr>
            <w:r>
              <w:rPr>
                <w:rFonts w:hint="eastAsia" w:ascii="宋体" w:hAnsi="宋体" w:cs="宋体"/>
                <w:color w:val="auto"/>
                <w:szCs w:val="21"/>
                <w:highlight w:val="none"/>
              </w:rPr>
              <w:t>3、内存：≥8GB DDR5 3200MHz及以上；</w:t>
            </w:r>
          </w:p>
          <w:p w14:paraId="6339EDC2">
            <w:pPr>
              <w:rPr>
                <w:rFonts w:ascii="宋体" w:hAnsi="宋体" w:cs="宋体"/>
                <w:color w:val="auto"/>
                <w:szCs w:val="21"/>
                <w:highlight w:val="none"/>
              </w:rPr>
            </w:pPr>
            <w:r>
              <w:rPr>
                <w:rFonts w:hint="eastAsia" w:ascii="宋体" w:hAnsi="宋体" w:cs="宋体"/>
                <w:color w:val="auto"/>
                <w:szCs w:val="21"/>
                <w:highlight w:val="none"/>
              </w:rPr>
              <w:t xml:space="preserve">4、硬盘：≥512G M.2 NVME SSD硬盘； </w:t>
            </w:r>
          </w:p>
          <w:p w14:paraId="3A514C6D">
            <w:pPr>
              <w:rPr>
                <w:rFonts w:ascii="宋体" w:hAnsi="宋体" w:cs="宋体"/>
                <w:color w:val="auto"/>
                <w:szCs w:val="21"/>
                <w:highlight w:val="none"/>
              </w:rPr>
            </w:pPr>
            <w:r>
              <w:rPr>
                <w:rFonts w:hint="eastAsia" w:ascii="宋体" w:hAnsi="宋体" w:cs="宋体"/>
                <w:color w:val="auto"/>
                <w:szCs w:val="21"/>
                <w:highlight w:val="none"/>
              </w:rPr>
              <w:t>5、显卡：集成显卡；</w:t>
            </w:r>
          </w:p>
          <w:p w14:paraId="61A077FB">
            <w:pPr>
              <w:rPr>
                <w:rFonts w:ascii="宋体" w:hAnsi="宋体" w:cs="宋体"/>
                <w:color w:val="auto"/>
                <w:szCs w:val="21"/>
                <w:highlight w:val="none"/>
              </w:rPr>
            </w:pPr>
            <w:r>
              <w:rPr>
                <w:rFonts w:hint="eastAsia" w:ascii="宋体" w:hAnsi="宋体" w:cs="宋体"/>
                <w:color w:val="auto"/>
                <w:szCs w:val="21"/>
                <w:highlight w:val="none"/>
              </w:rPr>
              <w:t>6、网卡：集成10/100/1000自适应网卡；</w:t>
            </w:r>
          </w:p>
          <w:p w14:paraId="7C406541">
            <w:pPr>
              <w:rPr>
                <w:rFonts w:ascii="宋体" w:hAnsi="宋体" w:cs="宋体"/>
                <w:color w:val="auto"/>
                <w:szCs w:val="21"/>
                <w:highlight w:val="none"/>
              </w:rPr>
            </w:pPr>
            <w:r>
              <w:rPr>
                <w:rFonts w:hint="eastAsia" w:ascii="宋体" w:hAnsi="宋体" w:cs="宋体"/>
                <w:color w:val="auto"/>
                <w:szCs w:val="21"/>
                <w:highlight w:val="none"/>
              </w:rPr>
              <w:t>7、声卡：集成5.1声道(提供前2后3共5个音频接口，其中前置包含1个2合1接口；</w:t>
            </w:r>
          </w:p>
          <w:p w14:paraId="2D79C022">
            <w:pPr>
              <w:rPr>
                <w:rFonts w:ascii="宋体" w:hAnsi="宋体" w:cs="宋体"/>
                <w:color w:val="auto"/>
                <w:szCs w:val="21"/>
                <w:highlight w:val="none"/>
              </w:rPr>
            </w:pPr>
            <w:r>
              <w:rPr>
                <w:rFonts w:hint="eastAsia" w:ascii="宋体" w:hAnsi="宋体" w:cs="宋体"/>
                <w:color w:val="auto"/>
                <w:szCs w:val="21"/>
                <w:highlight w:val="none"/>
              </w:rPr>
              <w:t>8、键鼠：标准键盘、USB光电鼠；</w:t>
            </w:r>
          </w:p>
          <w:p w14:paraId="664789F4">
            <w:pPr>
              <w:rPr>
                <w:rFonts w:ascii="宋体" w:hAnsi="宋体" w:cs="宋体"/>
                <w:color w:val="auto"/>
                <w:szCs w:val="21"/>
                <w:highlight w:val="none"/>
              </w:rPr>
            </w:pPr>
            <w:r>
              <w:rPr>
                <w:rFonts w:hint="eastAsia" w:ascii="宋体" w:hAnsi="宋体" w:cs="宋体"/>
                <w:color w:val="auto"/>
                <w:szCs w:val="21"/>
                <w:highlight w:val="none"/>
              </w:rPr>
              <w:t>9、电源：≥180W，≥90%电源转化效率 ；</w:t>
            </w:r>
          </w:p>
          <w:p w14:paraId="779C74C3">
            <w:pPr>
              <w:rPr>
                <w:rFonts w:ascii="宋体" w:hAnsi="宋体" w:cs="宋体"/>
                <w:color w:val="auto"/>
                <w:szCs w:val="21"/>
                <w:highlight w:val="none"/>
              </w:rPr>
            </w:pPr>
            <w:r>
              <w:rPr>
                <w:rFonts w:hint="eastAsia" w:ascii="宋体" w:hAnsi="宋体" w:cs="宋体"/>
                <w:color w:val="auto"/>
                <w:szCs w:val="21"/>
                <w:highlight w:val="none"/>
              </w:rPr>
              <w:t>10、接口：≥10个USB（含2个USB3.2 Gen2）接口、VGA+HDMI接口、2个PS2接口，1个串口；</w:t>
            </w:r>
          </w:p>
          <w:p w14:paraId="62E53BBB">
            <w:pPr>
              <w:rPr>
                <w:rFonts w:ascii="宋体" w:hAnsi="宋体" w:cs="宋体"/>
                <w:color w:val="auto"/>
                <w:szCs w:val="21"/>
                <w:highlight w:val="none"/>
              </w:rPr>
            </w:pPr>
            <w:r>
              <w:rPr>
                <w:rFonts w:hint="eastAsia" w:ascii="宋体" w:hAnsi="宋体" w:cs="宋体"/>
                <w:color w:val="auto"/>
                <w:szCs w:val="21"/>
                <w:highlight w:val="none"/>
              </w:rPr>
              <w:t>11、机箱：标准MATX立式机箱，采用蜂窝结构，机箱不大于15L，顶置提手，方便搬运，顶置电源开关键，方便使用，机箱外壳防护等级满足IP5X要求，需</w:t>
            </w:r>
            <w:r>
              <w:rPr>
                <w:rFonts w:hint="eastAsia" w:ascii="宋体" w:hAnsi="宋体" w:cs="宋体"/>
                <w:color w:val="auto"/>
                <w:highlight w:val="none"/>
              </w:rPr>
              <w:t>提供经 CNAS 或者CMA认可的机构出具的检验检测报告并加盖投标人公章</w:t>
            </w:r>
            <w:r>
              <w:rPr>
                <w:rFonts w:hint="eastAsia" w:ascii="宋体" w:hAnsi="宋体" w:cs="宋体"/>
                <w:color w:val="auto"/>
                <w:szCs w:val="21"/>
                <w:highlight w:val="none"/>
              </w:rPr>
              <w:t>；</w:t>
            </w:r>
          </w:p>
          <w:p w14:paraId="1D598B4C">
            <w:pPr>
              <w:rPr>
                <w:rFonts w:ascii="宋体" w:hAnsi="宋体" w:cs="宋体"/>
                <w:color w:val="auto"/>
                <w:szCs w:val="21"/>
                <w:highlight w:val="none"/>
              </w:rPr>
            </w:pPr>
            <w:r>
              <w:rPr>
                <w:rFonts w:hint="eastAsia" w:ascii="宋体" w:hAnsi="宋体" w:cs="宋体"/>
                <w:color w:val="auto"/>
                <w:szCs w:val="21"/>
                <w:highlight w:val="none"/>
              </w:rPr>
              <w:t>12、显示器：≥23.8英寸 IPS屏；亮度≥250nit；响应时间≤4毫秒；99%sRGB色域；刷新率≥100Hz；对比度≥1300:1；颜色≥16.7M；可视角度≥178°；分辨率：≥1920×1080；与主机同品牌；</w:t>
            </w:r>
          </w:p>
          <w:p w14:paraId="7ECB1C14">
            <w:pPr>
              <w:rPr>
                <w:rFonts w:ascii="宋体" w:hAnsi="宋体" w:eastAsia="微软雅黑" w:cs="宋体"/>
                <w:color w:val="auto"/>
                <w:szCs w:val="21"/>
                <w:highlight w:val="none"/>
              </w:rPr>
            </w:pPr>
            <w:r>
              <w:rPr>
                <w:rFonts w:hint="eastAsia" w:ascii="宋体" w:hAnsi="宋体" w:cs="宋体"/>
                <w:color w:val="auto"/>
                <w:szCs w:val="21"/>
                <w:highlight w:val="none"/>
              </w:rPr>
              <w:t>13、主机内置WiFi6+蓝牙功能；</w:t>
            </w:r>
          </w:p>
          <w:p w14:paraId="6760284F">
            <w:pPr>
              <w:rPr>
                <w:color w:val="auto"/>
                <w:highlight w:val="none"/>
              </w:rPr>
            </w:pPr>
            <w:r>
              <w:rPr>
                <w:rFonts w:hint="eastAsia" w:ascii="宋体" w:hAnsi="宋体" w:cs="宋体"/>
                <w:color w:val="auto"/>
                <w:szCs w:val="21"/>
                <w:highlight w:val="none"/>
              </w:rPr>
              <w:t>14、安全特性：BIOS底层支持USB智能屏蔽技术，仅识别USB键盘、鼠标，无法识别USB读取设备，有效防止数据泄露（投标时提供功能性截屏并加盖</w:t>
            </w: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rPr>
              <w:t>公章）；</w:t>
            </w:r>
          </w:p>
          <w:p w14:paraId="17FE43B3">
            <w:pPr>
              <w:rPr>
                <w:rFonts w:ascii="宋体" w:hAnsi="宋体" w:cs="宋体"/>
                <w:color w:val="auto"/>
                <w:szCs w:val="21"/>
                <w:highlight w:val="none"/>
              </w:rPr>
            </w:pPr>
            <w:r>
              <w:rPr>
                <w:rFonts w:hint="eastAsia" w:ascii="宋体" w:hAnsi="宋体" w:cs="宋体"/>
                <w:color w:val="auto"/>
                <w:szCs w:val="21"/>
                <w:highlight w:val="none"/>
              </w:rPr>
              <w:t>15、投标产品应具备高可靠性，所投产品平均无故障时长MTBF≥100万小时；（提供国家认可的检验检测机构（CNAS或CMA）颁发的证书及检测报告复印件并加盖</w:t>
            </w: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rPr>
              <w:t>公章佐证）；</w:t>
            </w:r>
          </w:p>
          <w:p w14:paraId="6DC503AD">
            <w:pPr>
              <w:rPr>
                <w:rFonts w:ascii="宋体" w:hAnsi="宋体" w:cs="宋体"/>
                <w:color w:val="auto"/>
                <w:szCs w:val="21"/>
                <w:highlight w:val="none"/>
              </w:rPr>
            </w:pPr>
            <w:r>
              <w:rPr>
                <w:rFonts w:hint="eastAsia" w:ascii="宋体" w:hAnsi="宋体" w:cs="宋体"/>
                <w:color w:val="auto"/>
                <w:szCs w:val="21"/>
                <w:highlight w:val="none"/>
              </w:rPr>
              <w:t>16、含强弱电施工及相关线材、管材、桥架等辅材。</w:t>
            </w:r>
          </w:p>
        </w:tc>
      </w:tr>
      <w:tr w14:paraId="618A7FFC">
        <w:tblPrEx>
          <w:tblCellMar>
            <w:top w:w="0" w:type="dxa"/>
            <w:left w:w="108" w:type="dxa"/>
            <w:bottom w:w="0" w:type="dxa"/>
            <w:right w:w="108" w:type="dxa"/>
          </w:tblCellMar>
        </w:tblPrEx>
        <w:trPr>
          <w:trHeight w:val="360" w:hRule="atLeast"/>
        </w:trPr>
        <w:tc>
          <w:tcPr>
            <w:tcW w:w="513" w:type="dxa"/>
            <w:tcBorders>
              <w:top w:val="single" w:color="000000" w:sz="4" w:space="0"/>
              <w:left w:val="single" w:color="000000" w:sz="4" w:space="0"/>
              <w:bottom w:val="single" w:color="000000" w:sz="4" w:space="0"/>
              <w:right w:val="single" w:color="000000" w:sz="4" w:space="0"/>
            </w:tcBorders>
            <w:vAlign w:val="center"/>
          </w:tcPr>
          <w:p w14:paraId="3EC79F2E">
            <w:pPr>
              <w:rPr>
                <w:rFonts w:ascii="宋体" w:hAnsi="宋体" w:cs="宋体"/>
                <w:color w:val="auto"/>
                <w:szCs w:val="21"/>
                <w:highlight w:val="none"/>
              </w:rPr>
            </w:pPr>
            <w:r>
              <w:rPr>
                <w:rFonts w:hint="eastAsia" w:ascii="宋体" w:hAnsi="宋体" w:cs="宋体"/>
                <w:color w:val="auto"/>
                <w:szCs w:val="21"/>
                <w:highlight w:val="none"/>
                <w:lang w:bidi="ar"/>
              </w:rPr>
              <w:t>2</w:t>
            </w:r>
          </w:p>
        </w:tc>
        <w:tc>
          <w:tcPr>
            <w:tcW w:w="1618" w:type="dxa"/>
            <w:tcBorders>
              <w:top w:val="single" w:color="000000" w:sz="4" w:space="0"/>
              <w:left w:val="single" w:color="000000" w:sz="4" w:space="0"/>
              <w:bottom w:val="single" w:color="000000" w:sz="4" w:space="0"/>
              <w:right w:val="single" w:color="000000" w:sz="4" w:space="0"/>
            </w:tcBorders>
            <w:vAlign w:val="center"/>
          </w:tcPr>
          <w:p w14:paraId="55F71098">
            <w:pPr>
              <w:rPr>
                <w:rFonts w:ascii="宋体" w:hAnsi="宋体" w:cs="宋体"/>
                <w:color w:val="auto"/>
                <w:szCs w:val="21"/>
                <w:highlight w:val="none"/>
              </w:rPr>
            </w:pPr>
            <w:r>
              <w:rPr>
                <w:rFonts w:hint="eastAsia" w:ascii="宋体" w:hAnsi="宋体" w:cs="宋体"/>
                <w:color w:val="auto"/>
                <w:szCs w:val="21"/>
                <w:highlight w:val="none"/>
                <w:lang w:bidi="ar"/>
              </w:rPr>
              <w:t>台式电脑2</w:t>
            </w:r>
          </w:p>
        </w:tc>
        <w:tc>
          <w:tcPr>
            <w:tcW w:w="7849" w:type="dxa"/>
            <w:tcBorders>
              <w:top w:val="single" w:color="000000" w:sz="4" w:space="0"/>
              <w:left w:val="single" w:color="000000" w:sz="4" w:space="0"/>
              <w:bottom w:val="single" w:color="000000" w:sz="4" w:space="0"/>
              <w:right w:val="single" w:color="000000" w:sz="4" w:space="0"/>
            </w:tcBorders>
            <w:vAlign w:val="center"/>
          </w:tcPr>
          <w:p w14:paraId="25ADA420">
            <w:pPr>
              <w:rPr>
                <w:rFonts w:ascii="宋体" w:hAnsi="宋体" w:cs="宋体"/>
                <w:color w:val="auto"/>
                <w:szCs w:val="21"/>
                <w:highlight w:val="none"/>
              </w:rPr>
            </w:pPr>
            <w:r>
              <w:rPr>
                <w:rFonts w:hint="eastAsia" w:ascii="宋体" w:hAnsi="宋体" w:cs="宋体"/>
                <w:color w:val="auto"/>
                <w:szCs w:val="21"/>
                <w:highlight w:val="none"/>
              </w:rPr>
              <w:t>1、CPU：</w:t>
            </w:r>
            <w:r>
              <w:rPr>
                <w:rFonts w:hint="eastAsia" w:ascii="微软雅黑" w:hAnsi="微软雅黑" w:eastAsia="微软雅黑" w:cs="微软雅黑"/>
                <w:color w:val="auto"/>
                <w:kern w:val="0"/>
                <w:sz w:val="22"/>
                <w:szCs w:val="22"/>
                <w:highlight w:val="none"/>
              </w:rPr>
              <w:t xml:space="preserve"> </w:t>
            </w:r>
            <w:r>
              <w:rPr>
                <w:rFonts w:hint="eastAsia" w:ascii="宋体" w:hAnsi="宋体" w:cs="宋体"/>
                <w:color w:val="auto"/>
                <w:szCs w:val="21"/>
                <w:highlight w:val="none"/>
              </w:rPr>
              <w:t>最大睿频≥5.4G，核心数≥20核，线程数≥28线程，三级缓存≥33MB；制程≤10纳米；接口类型：LGA 1700；支持DDR5内存；</w:t>
            </w:r>
          </w:p>
          <w:p w14:paraId="48A916D4">
            <w:pPr>
              <w:rPr>
                <w:rFonts w:ascii="宋体" w:hAnsi="宋体" w:cs="宋体"/>
                <w:color w:val="auto"/>
                <w:szCs w:val="21"/>
                <w:highlight w:val="none"/>
              </w:rPr>
            </w:pPr>
            <w:r>
              <w:rPr>
                <w:rFonts w:hint="eastAsia" w:ascii="宋体" w:hAnsi="宋体" w:cs="宋体"/>
                <w:color w:val="auto"/>
                <w:szCs w:val="21"/>
                <w:highlight w:val="none"/>
              </w:rPr>
              <w:t>2、主板：≥B760芯片组；</w:t>
            </w:r>
          </w:p>
          <w:p w14:paraId="4BECB96F">
            <w:pPr>
              <w:rPr>
                <w:rFonts w:ascii="宋体" w:hAnsi="宋体" w:cs="宋体"/>
                <w:color w:val="auto"/>
                <w:szCs w:val="21"/>
                <w:highlight w:val="none"/>
              </w:rPr>
            </w:pPr>
            <w:r>
              <w:rPr>
                <w:rFonts w:hint="eastAsia" w:ascii="宋体" w:hAnsi="宋体" w:cs="宋体"/>
                <w:color w:val="auto"/>
                <w:szCs w:val="21"/>
                <w:highlight w:val="none"/>
              </w:rPr>
              <w:t>3、内存：≥16GB DDR5；</w:t>
            </w:r>
          </w:p>
          <w:p w14:paraId="450201A2">
            <w:pPr>
              <w:rPr>
                <w:rFonts w:ascii="宋体" w:hAnsi="宋体" w:cs="宋体"/>
                <w:color w:val="auto"/>
                <w:szCs w:val="21"/>
                <w:highlight w:val="none"/>
              </w:rPr>
            </w:pPr>
            <w:r>
              <w:rPr>
                <w:rFonts w:hint="eastAsia" w:ascii="宋体" w:hAnsi="宋体" w:cs="宋体"/>
                <w:color w:val="auto"/>
                <w:szCs w:val="21"/>
                <w:highlight w:val="none"/>
              </w:rPr>
              <w:t xml:space="preserve">4、硬盘：≥1T M.2 NVME SSD硬盘； </w:t>
            </w:r>
          </w:p>
          <w:p w14:paraId="145F1A88">
            <w:pPr>
              <w:rPr>
                <w:rFonts w:ascii="宋体" w:hAnsi="宋体" w:cs="宋体"/>
                <w:color w:val="auto"/>
                <w:szCs w:val="21"/>
                <w:highlight w:val="none"/>
              </w:rPr>
            </w:pPr>
            <w:r>
              <w:rPr>
                <w:rFonts w:hint="eastAsia" w:ascii="宋体" w:hAnsi="宋体" w:cs="宋体"/>
                <w:color w:val="auto"/>
                <w:szCs w:val="21"/>
                <w:highlight w:val="none"/>
              </w:rPr>
              <w:t>5、显卡：集成显卡；</w:t>
            </w:r>
          </w:p>
          <w:p w14:paraId="00E2C029">
            <w:pPr>
              <w:rPr>
                <w:rFonts w:ascii="宋体" w:hAnsi="宋体" w:cs="宋体"/>
                <w:color w:val="auto"/>
                <w:szCs w:val="21"/>
                <w:highlight w:val="none"/>
              </w:rPr>
            </w:pPr>
            <w:r>
              <w:rPr>
                <w:rFonts w:hint="eastAsia" w:ascii="宋体" w:hAnsi="宋体" w:cs="宋体"/>
                <w:color w:val="auto"/>
                <w:szCs w:val="21"/>
                <w:highlight w:val="none"/>
              </w:rPr>
              <w:t>6、网卡：集成10/100/1000自适应网卡；</w:t>
            </w:r>
          </w:p>
          <w:p w14:paraId="4ADE834A">
            <w:pPr>
              <w:rPr>
                <w:rFonts w:ascii="宋体" w:hAnsi="宋体" w:cs="宋体"/>
                <w:color w:val="auto"/>
                <w:szCs w:val="21"/>
                <w:highlight w:val="none"/>
              </w:rPr>
            </w:pPr>
            <w:r>
              <w:rPr>
                <w:rFonts w:hint="eastAsia" w:ascii="宋体" w:hAnsi="宋体" w:cs="宋体"/>
                <w:color w:val="auto"/>
                <w:szCs w:val="21"/>
                <w:highlight w:val="none"/>
              </w:rPr>
              <w:t>7、声卡：集成5.1声道声卡 提供5个音频接口；</w:t>
            </w:r>
          </w:p>
          <w:p w14:paraId="5C4121B4">
            <w:pPr>
              <w:rPr>
                <w:rFonts w:ascii="宋体" w:hAnsi="宋体" w:cs="宋体"/>
                <w:color w:val="auto"/>
                <w:szCs w:val="21"/>
                <w:highlight w:val="none"/>
              </w:rPr>
            </w:pPr>
            <w:r>
              <w:rPr>
                <w:rFonts w:hint="eastAsia" w:ascii="宋体" w:hAnsi="宋体" w:cs="宋体"/>
                <w:color w:val="auto"/>
                <w:szCs w:val="21"/>
                <w:highlight w:val="none"/>
              </w:rPr>
              <w:t>8、键鼠：标准键盘、USB光电鼠</w:t>
            </w:r>
          </w:p>
          <w:p w14:paraId="58FC8D90">
            <w:pPr>
              <w:rPr>
                <w:rFonts w:ascii="宋体" w:hAnsi="宋体" w:cs="宋体"/>
                <w:color w:val="auto"/>
                <w:szCs w:val="21"/>
                <w:highlight w:val="none"/>
              </w:rPr>
            </w:pPr>
            <w:r>
              <w:rPr>
                <w:rFonts w:hint="eastAsia" w:ascii="宋体" w:hAnsi="宋体" w:cs="宋体"/>
                <w:color w:val="auto"/>
                <w:szCs w:val="21"/>
                <w:highlight w:val="none"/>
              </w:rPr>
              <w:t>9、电源：≥260W 90%电源转化效率；</w:t>
            </w:r>
          </w:p>
          <w:p w14:paraId="12429AF2">
            <w:pPr>
              <w:rPr>
                <w:rFonts w:ascii="宋体" w:hAnsi="宋体" w:cs="宋体"/>
                <w:color w:val="auto"/>
                <w:szCs w:val="21"/>
                <w:highlight w:val="none"/>
              </w:rPr>
            </w:pPr>
            <w:r>
              <w:rPr>
                <w:rFonts w:hint="eastAsia" w:ascii="宋体" w:hAnsi="宋体" w:cs="宋体"/>
                <w:color w:val="auto"/>
                <w:szCs w:val="21"/>
                <w:highlight w:val="none"/>
              </w:rPr>
              <w:t>10、接口：≥9个USB（含2个USB3.2 Gen2）接口、VGA+HDMI接口；</w:t>
            </w:r>
          </w:p>
          <w:p w14:paraId="40A685E3">
            <w:pPr>
              <w:rPr>
                <w:rFonts w:hint="eastAsia" w:ascii="宋体" w:hAnsi="宋体" w:cs="宋体"/>
                <w:color w:val="auto"/>
                <w:szCs w:val="21"/>
                <w:highlight w:val="none"/>
              </w:rPr>
            </w:pPr>
            <w:r>
              <w:rPr>
                <w:rFonts w:hint="eastAsia" w:ascii="宋体" w:hAnsi="宋体" w:cs="宋体"/>
                <w:color w:val="auto"/>
                <w:szCs w:val="21"/>
                <w:highlight w:val="none"/>
              </w:rPr>
              <w:t>11、机箱：标准MATX立式机箱，采用蜂窝结构，机箱不大于15L，顶置提手、顶置电源开关键；</w:t>
            </w:r>
          </w:p>
          <w:p w14:paraId="3A77FD9A">
            <w:pPr>
              <w:rPr>
                <w:rFonts w:ascii="宋体" w:hAnsi="宋体" w:cs="宋体"/>
                <w:color w:val="auto"/>
                <w:szCs w:val="21"/>
                <w:highlight w:val="none"/>
              </w:rPr>
            </w:pPr>
            <w:r>
              <w:rPr>
                <w:rFonts w:hint="eastAsia" w:ascii="宋体" w:hAnsi="宋体" w:cs="宋体"/>
                <w:color w:val="auto"/>
                <w:szCs w:val="21"/>
                <w:highlight w:val="none"/>
              </w:rPr>
              <w:t>12、主机内置WiFi6+蓝牙功能；</w:t>
            </w:r>
          </w:p>
          <w:p w14:paraId="6412B298">
            <w:pPr>
              <w:rPr>
                <w:rFonts w:ascii="宋体" w:hAnsi="宋体" w:cs="宋体"/>
                <w:color w:val="auto"/>
                <w:szCs w:val="21"/>
                <w:highlight w:val="none"/>
              </w:rPr>
            </w:pPr>
            <w:r>
              <w:rPr>
                <w:rFonts w:hint="eastAsia" w:ascii="宋体" w:hAnsi="宋体" w:cs="宋体"/>
                <w:color w:val="auto"/>
                <w:szCs w:val="21"/>
                <w:highlight w:val="none"/>
              </w:rPr>
              <w:t>13、显示器：≥23.8寸显示器 IPS屏；亮度≥250nit；响应时间≤4毫秒；99%sRGB色域；刷新率≥100Hz；对比度≥1300:1；颜色≥16.7M；可视角度≥178°；分辨率：≥1920×1080；与主机同品牌；</w:t>
            </w:r>
          </w:p>
        </w:tc>
      </w:tr>
      <w:tr w14:paraId="2BC6E7C7">
        <w:tblPrEx>
          <w:tblCellMar>
            <w:top w:w="0" w:type="dxa"/>
            <w:left w:w="108" w:type="dxa"/>
            <w:bottom w:w="0" w:type="dxa"/>
            <w:right w:w="108" w:type="dxa"/>
          </w:tblCellMar>
        </w:tblPrEx>
        <w:trPr>
          <w:trHeight w:val="360" w:hRule="atLeast"/>
        </w:trPr>
        <w:tc>
          <w:tcPr>
            <w:tcW w:w="513" w:type="dxa"/>
            <w:tcBorders>
              <w:top w:val="single" w:color="000000" w:sz="4" w:space="0"/>
              <w:left w:val="single" w:color="000000" w:sz="4" w:space="0"/>
              <w:bottom w:val="single" w:color="000000" w:sz="4" w:space="0"/>
              <w:right w:val="single" w:color="000000" w:sz="4" w:space="0"/>
            </w:tcBorders>
            <w:vAlign w:val="center"/>
          </w:tcPr>
          <w:p w14:paraId="11CC9E7C">
            <w:pPr>
              <w:rPr>
                <w:rFonts w:ascii="宋体" w:hAnsi="宋体" w:cs="宋体"/>
                <w:color w:val="auto"/>
                <w:szCs w:val="21"/>
                <w:highlight w:val="none"/>
              </w:rPr>
            </w:pPr>
            <w:r>
              <w:rPr>
                <w:rFonts w:hint="eastAsia" w:ascii="宋体" w:hAnsi="宋体" w:cs="宋体"/>
                <w:color w:val="auto"/>
                <w:szCs w:val="21"/>
                <w:highlight w:val="none"/>
                <w:lang w:bidi="ar"/>
              </w:rPr>
              <w:t>3</w:t>
            </w:r>
          </w:p>
        </w:tc>
        <w:tc>
          <w:tcPr>
            <w:tcW w:w="1618" w:type="dxa"/>
            <w:tcBorders>
              <w:top w:val="single" w:color="000000" w:sz="4" w:space="0"/>
              <w:left w:val="single" w:color="000000" w:sz="4" w:space="0"/>
              <w:bottom w:val="single" w:color="000000" w:sz="4" w:space="0"/>
              <w:right w:val="single" w:color="000000" w:sz="4" w:space="0"/>
            </w:tcBorders>
            <w:vAlign w:val="center"/>
          </w:tcPr>
          <w:p w14:paraId="066D5A30">
            <w:pPr>
              <w:rPr>
                <w:rFonts w:ascii="宋体" w:hAnsi="宋体" w:cs="宋体"/>
                <w:color w:val="auto"/>
                <w:szCs w:val="21"/>
                <w:highlight w:val="none"/>
              </w:rPr>
            </w:pPr>
            <w:r>
              <w:rPr>
                <w:rFonts w:hint="eastAsia" w:ascii="宋体" w:hAnsi="宋体" w:cs="宋体"/>
                <w:color w:val="auto"/>
                <w:szCs w:val="21"/>
                <w:highlight w:val="none"/>
                <w:lang w:bidi="ar"/>
              </w:rPr>
              <w:t>云桌面软件</w:t>
            </w:r>
          </w:p>
        </w:tc>
        <w:tc>
          <w:tcPr>
            <w:tcW w:w="7849" w:type="dxa"/>
            <w:tcBorders>
              <w:top w:val="single" w:color="000000" w:sz="4" w:space="0"/>
              <w:left w:val="single" w:color="000000" w:sz="4" w:space="0"/>
              <w:bottom w:val="single" w:color="000000" w:sz="4" w:space="0"/>
              <w:right w:val="single" w:color="000000" w:sz="4" w:space="0"/>
            </w:tcBorders>
            <w:vAlign w:val="center"/>
          </w:tcPr>
          <w:p w14:paraId="30142871">
            <w:pPr>
              <w:rPr>
                <w:rFonts w:ascii="宋体" w:hAnsi="宋体" w:cs="宋体"/>
                <w:color w:val="auto"/>
                <w:szCs w:val="21"/>
                <w:highlight w:val="none"/>
              </w:rPr>
            </w:pPr>
            <w:r>
              <w:rPr>
                <w:rFonts w:hint="eastAsia" w:ascii="宋体" w:hAnsi="宋体" w:cs="宋体"/>
                <w:color w:val="auto"/>
                <w:szCs w:val="21"/>
                <w:highlight w:val="none"/>
              </w:rPr>
              <w:t>1.管理平台采用B/S架构，无需安装客户端，管理员可以在任意地点使用PC、手机、平板电脑等设备访问WEB页面即可进行终端和桌面的管理，支持账号密码和微信扫码多种登录方式；</w:t>
            </w:r>
          </w:p>
          <w:p w14:paraId="056CB2A0">
            <w:pPr>
              <w:rPr>
                <w:rFonts w:ascii="宋体" w:hAnsi="宋体" w:cs="宋体"/>
                <w:color w:val="auto"/>
                <w:szCs w:val="21"/>
                <w:highlight w:val="none"/>
              </w:rPr>
            </w:pPr>
            <w:r>
              <w:rPr>
                <w:rFonts w:hint="eastAsia" w:ascii="宋体" w:hAnsi="宋体" w:cs="宋体"/>
                <w:color w:val="auto"/>
                <w:szCs w:val="21"/>
                <w:highlight w:val="none"/>
              </w:rPr>
              <w:t>2.支持系统环境的批量部署，可根据不同专业的教学、考试要求，快速创建多套教学环境，使用时开放，不使用时随时回收；</w:t>
            </w:r>
          </w:p>
          <w:p w14:paraId="19443150">
            <w:pPr>
              <w:rPr>
                <w:rFonts w:ascii="宋体" w:hAnsi="宋体" w:cs="宋体"/>
                <w:color w:val="auto"/>
                <w:szCs w:val="21"/>
                <w:highlight w:val="none"/>
              </w:rPr>
            </w:pPr>
            <w:r>
              <w:rPr>
                <w:rFonts w:hint="eastAsia" w:ascii="宋体" w:hAnsi="宋体" w:cs="宋体"/>
                <w:color w:val="FF0000"/>
                <w:szCs w:val="21"/>
                <w:highlight w:val="none"/>
              </w:rPr>
              <w:t>3.</w:t>
            </w:r>
            <w:r>
              <w:rPr>
                <w:rFonts w:hint="eastAsia" w:ascii="宋体" w:hAnsi="宋体" w:cs="宋体"/>
                <w:color w:val="auto"/>
                <w:szCs w:val="21"/>
                <w:highlight w:val="none"/>
              </w:rPr>
              <w:t>支持端对端数据智能传输，可将已有镜像的终端作为发送端，给同教室内其他终端下发镜像，提升系统下发效率（提供第三方检测机构出具的具备CNAS或CMA标识的产品功能测试报告复印件并加盖投标人公章） ；</w:t>
            </w:r>
          </w:p>
          <w:p w14:paraId="1AD96258">
            <w:pPr>
              <w:rPr>
                <w:rFonts w:ascii="宋体" w:hAnsi="宋体" w:cs="宋体"/>
                <w:color w:val="auto"/>
                <w:szCs w:val="21"/>
                <w:highlight w:val="none"/>
              </w:rPr>
            </w:pPr>
            <w:r>
              <w:rPr>
                <w:rFonts w:hint="eastAsia" w:ascii="宋体" w:hAnsi="宋体" w:cs="宋体"/>
                <w:color w:val="auto"/>
                <w:szCs w:val="21"/>
                <w:highlight w:val="none"/>
              </w:rPr>
              <w:t>4.制作系统模板时支持样机制作方式，可在教室任意选择一台样机，系统和软件安装完成后将样机模板上传到服务器端；同时支持web平台制作方式，无需到教室寻找样机，直接在管理平台上通过虚拟机制作模板然后下发，提高样机制作便捷度；</w:t>
            </w:r>
          </w:p>
          <w:p w14:paraId="0216DFE5">
            <w:pPr>
              <w:rPr>
                <w:rFonts w:ascii="宋体" w:hAnsi="宋体" w:cs="宋体"/>
                <w:color w:val="auto"/>
                <w:szCs w:val="21"/>
                <w:highlight w:val="none"/>
              </w:rPr>
            </w:pPr>
            <w:r>
              <w:rPr>
                <w:rFonts w:hint="eastAsia" w:ascii="宋体" w:hAnsi="宋体" w:cs="宋体"/>
                <w:color w:val="auto"/>
                <w:szCs w:val="21"/>
                <w:highlight w:val="none"/>
              </w:rPr>
              <w:t xml:space="preserve">5.系统下发支持分盘下发，可同时下发系统盘和数据盘数据，也可独立分发系统盘数据，满足系统盘更新同时保留数据盘数据的需求，提升系统下发的灵活性； </w:t>
            </w:r>
          </w:p>
          <w:p w14:paraId="5A5C9990">
            <w:pPr>
              <w:rPr>
                <w:rFonts w:ascii="宋体" w:hAnsi="宋体" w:cs="宋体"/>
                <w:color w:val="auto"/>
                <w:szCs w:val="21"/>
                <w:highlight w:val="none"/>
              </w:rPr>
            </w:pPr>
            <w:r>
              <w:rPr>
                <w:rFonts w:hint="eastAsia" w:ascii="宋体" w:hAnsi="宋体" w:cs="宋体"/>
                <w:color w:val="auto"/>
                <w:szCs w:val="21"/>
                <w:highlight w:val="none"/>
              </w:rPr>
              <w:t xml:space="preserve">6.针对教室桌面，能够设定独立的场景数据盘，并自动挂载到终端操作系统，针对场景数据盘能够设定清空策略，支持不清空/每周清空/每月清空等方式，满足单个专业环境下的数据存储要求；  </w:t>
            </w:r>
          </w:p>
          <w:p w14:paraId="18D4B721">
            <w:pPr>
              <w:rPr>
                <w:rFonts w:ascii="宋体" w:hAnsi="宋体" w:cs="宋体"/>
                <w:color w:val="auto"/>
                <w:szCs w:val="21"/>
                <w:highlight w:val="none"/>
              </w:rPr>
            </w:pPr>
            <w:r>
              <w:rPr>
                <w:rFonts w:hint="eastAsia" w:ascii="宋体" w:hAnsi="宋体" w:cs="宋体"/>
                <w:color w:val="auto"/>
                <w:szCs w:val="21"/>
                <w:highlight w:val="none"/>
              </w:rPr>
              <w:t>7.当有多套操作系统时，每个操作系统所需的教学资源数据可存储在该系统的场景数据盘中，在进行系统升级同传时，支持只同传该系统的场景数据盘，无需全盘同传，以提升系统同传效率，降低存储空间占用；</w:t>
            </w:r>
          </w:p>
          <w:p w14:paraId="2D446911">
            <w:pPr>
              <w:rPr>
                <w:rFonts w:ascii="宋体" w:hAnsi="宋体" w:cs="宋体"/>
                <w:color w:val="auto"/>
                <w:szCs w:val="21"/>
                <w:highlight w:val="none"/>
              </w:rPr>
            </w:pPr>
            <w:r>
              <w:rPr>
                <w:rFonts w:hint="eastAsia" w:ascii="宋体" w:hAnsi="宋体" w:cs="宋体"/>
                <w:color w:val="auto"/>
                <w:szCs w:val="21"/>
                <w:highlight w:val="none"/>
              </w:rPr>
              <w:t xml:space="preserve">8.支持硬件虚拟化功能，开启后针对硬件识别码的软件可实现软件统一注册，大幅度降低激活软件带来的工作量； </w:t>
            </w:r>
          </w:p>
          <w:p w14:paraId="1A129434">
            <w:pPr>
              <w:rPr>
                <w:rFonts w:ascii="宋体" w:hAnsi="宋体" w:cs="宋体"/>
                <w:color w:val="auto"/>
                <w:szCs w:val="21"/>
                <w:highlight w:val="none"/>
              </w:rPr>
            </w:pPr>
            <w:r>
              <w:rPr>
                <w:rFonts w:hint="eastAsia" w:ascii="宋体" w:hAnsi="宋体" w:cs="宋体"/>
                <w:color w:val="auto"/>
                <w:szCs w:val="21"/>
                <w:highlight w:val="none"/>
              </w:rPr>
              <w:t>9.支持模板克隆，可基于模板克隆一个无需设置硬件配置的新模板，支持克隆为VOI教学模板和个人模板，完整克隆模式不依赖原有模板数据创建完整副本模板并进行完整数据下发，链接克隆模式依赖原有模板数据创建增量模板并进行增量数据下发（提供具备CMA标识的产品功能测试报告复印件或扫描件并加盖投标人公章）；</w:t>
            </w:r>
          </w:p>
          <w:p w14:paraId="2A01B84E">
            <w:pPr>
              <w:rPr>
                <w:rFonts w:ascii="宋体" w:hAnsi="宋体" w:cs="宋体"/>
                <w:color w:val="auto"/>
                <w:szCs w:val="21"/>
                <w:highlight w:val="none"/>
              </w:rPr>
            </w:pPr>
            <w:r>
              <w:rPr>
                <w:rFonts w:hint="eastAsia" w:ascii="宋体" w:hAnsi="宋体" w:cs="宋体"/>
                <w:color w:val="auto"/>
                <w:szCs w:val="21"/>
                <w:highlight w:val="none"/>
              </w:rPr>
              <w:t>10.支持模板更新点管理，模板更新时自动记录模板状态并生成更新点，可回退到上个更新点以恢复模板健康，可删除多余更新点，可合并类似更新点；</w:t>
            </w:r>
          </w:p>
          <w:p w14:paraId="36EA9E5F">
            <w:pPr>
              <w:rPr>
                <w:rFonts w:ascii="宋体" w:hAnsi="宋体" w:cs="宋体"/>
                <w:color w:val="auto"/>
                <w:szCs w:val="21"/>
                <w:highlight w:val="none"/>
              </w:rPr>
            </w:pPr>
            <w:r>
              <w:rPr>
                <w:rFonts w:hint="eastAsia" w:ascii="宋体" w:hAnsi="宋体" w:cs="宋体"/>
                <w:color w:val="auto"/>
                <w:szCs w:val="21"/>
                <w:highlight w:val="none"/>
              </w:rPr>
              <w:t>11.单个终端可部署多个操作系统，支持在管理平台上设置终端数据盘，可任意选定可使用共享盘的操作系统数量，可设置终端数据盘的空间大小，并能设定清除策略，包含不清除/每周清除/每月清除；</w:t>
            </w:r>
          </w:p>
          <w:p w14:paraId="0588453B">
            <w:pPr>
              <w:rPr>
                <w:rFonts w:ascii="宋体" w:hAnsi="宋体" w:cs="宋体"/>
                <w:color w:val="auto"/>
                <w:szCs w:val="21"/>
                <w:highlight w:val="none"/>
              </w:rPr>
            </w:pPr>
            <w:r>
              <w:rPr>
                <w:rFonts w:hint="eastAsia" w:ascii="宋体" w:hAnsi="宋体" w:cs="宋体"/>
                <w:color w:val="FF0000"/>
                <w:szCs w:val="21"/>
                <w:highlight w:val="none"/>
              </w:rPr>
              <w:t>12.</w:t>
            </w:r>
            <w:r>
              <w:rPr>
                <w:rFonts w:hint="eastAsia" w:ascii="宋体" w:hAnsi="宋体" w:cs="宋体"/>
                <w:color w:val="auto"/>
                <w:szCs w:val="21"/>
                <w:highlight w:val="none"/>
              </w:rPr>
              <w:t xml:space="preserve">支持消息发布功能，可设定不同教室的开机消息通知，通过Web管理平台给终端发送消息，终端无需进入操作系统，在场景（系统）选择页面可接收消息，在屏幕上方显示消息（提供具备CMA标识的产品功能测试报告复印件或扫描件并加盖投标人公章）  ；   </w:t>
            </w:r>
          </w:p>
          <w:p w14:paraId="53804104">
            <w:pPr>
              <w:rPr>
                <w:rFonts w:ascii="宋体" w:hAnsi="宋体" w:cs="宋体"/>
                <w:color w:val="auto"/>
                <w:szCs w:val="21"/>
                <w:highlight w:val="none"/>
              </w:rPr>
            </w:pPr>
            <w:r>
              <w:rPr>
                <w:rFonts w:hint="eastAsia" w:ascii="宋体" w:hAnsi="宋体" w:cs="宋体"/>
                <w:color w:val="auto"/>
                <w:szCs w:val="21"/>
                <w:highlight w:val="none"/>
              </w:rPr>
              <w:t>13.支持教学网盘功能，支持本地存储及远端存储，支持Windows客户端和B/S网页端两种模式访问，创建桌面账户时，同步生成网盘账号，启用网盘后，在教学桌面中通过账号登录网盘，在个人桌面中无需登录可直接访问网盘；可扩容不同账号的网盘空间容量，网盘支持文件夹上传，教师在本地同步目录下的文件可以自动同步至云端，多个用户可创建群组共享文件，可设置群组管理权限及对文件的读写权限，通过文件的共享链接可查看并下载文件（提供具备CMA标识的产品功能测试报告复印件或扫描件）；</w:t>
            </w:r>
          </w:p>
          <w:p w14:paraId="08963EAF">
            <w:pPr>
              <w:rPr>
                <w:rFonts w:ascii="宋体" w:hAnsi="宋体" w:cs="宋体"/>
                <w:color w:val="auto"/>
                <w:szCs w:val="21"/>
                <w:highlight w:val="none"/>
              </w:rPr>
            </w:pPr>
            <w:r>
              <w:rPr>
                <w:rFonts w:hint="eastAsia" w:ascii="宋体" w:hAnsi="宋体" w:cs="宋体"/>
                <w:color w:val="auto"/>
                <w:szCs w:val="21"/>
                <w:highlight w:val="none"/>
              </w:rPr>
              <w:t>14.支持usb急救恢复，可导出系统镜像文件至U盘，将终端置于底层界面，通过快捷键导入U盘里的镜像文件从而恢复终端原有操作系统，恢复后的系统仍可被管理平台识别和管理（提供的具备CMA标识的产品功能测试报告复印件或扫描件）；</w:t>
            </w:r>
          </w:p>
          <w:p w14:paraId="5B655440">
            <w:pPr>
              <w:rPr>
                <w:rFonts w:ascii="宋体" w:hAnsi="宋体" w:cs="宋体"/>
                <w:color w:val="auto"/>
                <w:szCs w:val="21"/>
                <w:highlight w:val="none"/>
              </w:rPr>
            </w:pPr>
            <w:r>
              <w:rPr>
                <w:rFonts w:hint="eastAsia" w:ascii="宋体" w:hAnsi="宋体" w:cs="宋体"/>
                <w:color w:val="FF0000"/>
                <w:szCs w:val="21"/>
                <w:highlight w:val="none"/>
              </w:rPr>
              <w:t>1</w:t>
            </w:r>
            <w:r>
              <w:rPr>
                <w:rFonts w:hint="eastAsia" w:ascii="宋体" w:hAnsi="宋体" w:cs="宋体"/>
                <w:color w:val="FF0000"/>
                <w:szCs w:val="21"/>
                <w:highlight w:val="none"/>
                <w:lang w:val="en-US" w:eastAsia="zh-CN"/>
              </w:rPr>
              <w:t>5</w:t>
            </w:r>
            <w:r>
              <w:rPr>
                <w:rFonts w:hint="eastAsia" w:ascii="宋体" w:hAnsi="宋体" w:cs="宋体"/>
                <w:color w:val="FF0000"/>
                <w:szCs w:val="21"/>
                <w:highlight w:val="none"/>
              </w:rPr>
              <w:t>.</w:t>
            </w:r>
            <w:r>
              <w:rPr>
                <w:rFonts w:hint="eastAsia" w:ascii="宋体" w:hAnsi="宋体" w:cs="宋体"/>
                <w:color w:val="auto"/>
                <w:szCs w:val="21"/>
                <w:highlight w:val="none"/>
              </w:rPr>
              <w:t>支持与学院现有云桌面平台无缝对接实现统一管理，用户提供原平台相关协议接口，投标人需提供对接承诺函并加盖公章。</w:t>
            </w:r>
          </w:p>
        </w:tc>
      </w:tr>
      <w:tr w14:paraId="7550E7E7">
        <w:tblPrEx>
          <w:tblCellMar>
            <w:top w:w="0" w:type="dxa"/>
            <w:left w:w="108" w:type="dxa"/>
            <w:bottom w:w="0" w:type="dxa"/>
            <w:right w:w="108" w:type="dxa"/>
          </w:tblCellMar>
        </w:tblPrEx>
        <w:trPr>
          <w:trHeight w:val="360" w:hRule="atLeast"/>
        </w:trPr>
        <w:tc>
          <w:tcPr>
            <w:tcW w:w="513" w:type="dxa"/>
            <w:tcBorders>
              <w:top w:val="single" w:color="000000" w:sz="4" w:space="0"/>
              <w:left w:val="single" w:color="000000" w:sz="4" w:space="0"/>
              <w:bottom w:val="single" w:color="000000" w:sz="4" w:space="0"/>
              <w:right w:val="single" w:color="000000" w:sz="4" w:space="0"/>
            </w:tcBorders>
            <w:vAlign w:val="center"/>
          </w:tcPr>
          <w:p w14:paraId="0745CB1E">
            <w:pPr>
              <w:rPr>
                <w:rFonts w:ascii="宋体" w:hAnsi="宋体" w:cs="宋体"/>
                <w:color w:val="auto"/>
                <w:szCs w:val="21"/>
                <w:highlight w:val="none"/>
                <w:lang w:bidi="ar"/>
              </w:rPr>
            </w:pPr>
            <w:r>
              <w:rPr>
                <w:rFonts w:hint="eastAsia" w:ascii="宋体" w:hAnsi="宋体" w:cs="宋体"/>
                <w:color w:val="auto"/>
                <w:szCs w:val="21"/>
                <w:highlight w:val="none"/>
                <w:lang w:bidi="ar"/>
              </w:rPr>
              <w:t>4</w:t>
            </w:r>
          </w:p>
        </w:tc>
        <w:tc>
          <w:tcPr>
            <w:tcW w:w="1618" w:type="dxa"/>
            <w:tcBorders>
              <w:top w:val="single" w:color="000000" w:sz="4" w:space="0"/>
              <w:left w:val="single" w:color="000000" w:sz="4" w:space="0"/>
              <w:bottom w:val="single" w:color="000000" w:sz="4" w:space="0"/>
              <w:right w:val="single" w:color="000000" w:sz="4" w:space="0"/>
            </w:tcBorders>
            <w:vAlign w:val="center"/>
          </w:tcPr>
          <w:p w14:paraId="2B17CBBC">
            <w:pPr>
              <w:rPr>
                <w:rFonts w:ascii="宋体" w:hAnsi="宋体" w:cs="宋体"/>
                <w:color w:val="auto"/>
                <w:szCs w:val="21"/>
                <w:highlight w:val="none"/>
              </w:rPr>
            </w:pPr>
            <w:r>
              <w:rPr>
                <w:rFonts w:hint="eastAsia" w:ascii="宋体" w:hAnsi="宋体" w:cs="宋体"/>
                <w:color w:val="auto"/>
                <w:szCs w:val="21"/>
                <w:highlight w:val="none"/>
                <w:lang w:bidi="ar"/>
              </w:rPr>
              <w:t>教学管理软件</w:t>
            </w:r>
          </w:p>
        </w:tc>
        <w:tc>
          <w:tcPr>
            <w:tcW w:w="7849" w:type="dxa"/>
            <w:tcBorders>
              <w:top w:val="single" w:color="000000" w:sz="4" w:space="0"/>
              <w:left w:val="single" w:color="000000" w:sz="4" w:space="0"/>
              <w:bottom w:val="single" w:color="000000" w:sz="4" w:space="0"/>
              <w:right w:val="single" w:color="000000" w:sz="4" w:space="0"/>
            </w:tcBorders>
            <w:vAlign w:val="center"/>
          </w:tcPr>
          <w:p w14:paraId="65AEBBD7">
            <w:pPr>
              <w:rPr>
                <w:rFonts w:ascii="宋体" w:hAnsi="宋体" w:cs="宋体"/>
                <w:color w:val="auto"/>
                <w:szCs w:val="21"/>
                <w:highlight w:val="none"/>
              </w:rPr>
            </w:pPr>
            <w:r>
              <w:rPr>
                <w:rFonts w:hint="eastAsia" w:ascii="宋体" w:hAnsi="宋体" w:cs="宋体"/>
                <w:color w:val="auto"/>
                <w:szCs w:val="21"/>
                <w:highlight w:val="none"/>
              </w:rPr>
              <w:t>1．支持屏幕广播功能，能够实现两种接收模式，包括学生全屏/窗口模式接收教师机广播的画面，全屏状态锁定学生鼠标和键盘，支持弹幕，教师机开启弹幕后，教师机和学生机可发送弹幕信息，便于及时交流、增强教学互动性；</w:t>
            </w:r>
          </w:p>
          <w:p w14:paraId="3C5DC0DB">
            <w:pPr>
              <w:rPr>
                <w:rFonts w:ascii="宋体" w:hAnsi="宋体" w:cs="宋体"/>
                <w:color w:val="auto"/>
                <w:szCs w:val="21"/>
                <w:highlight w:val="none"/>
              </w:rPr>
            </w:pPr>
            <w:r>
              <w:rPr>
                <w:rFonts w:hint="eastAsia" w:ascii="宋体" w:hAnsi="宋体" w:cs="宋体"/>
                <w:color w:val="auto"/>
                <w:szCs w:val="21"/>
                <w:highlight w:val="none"/>
              </w:rPr>
              <w:t>2．屏幕广播支持笔记截屏，教师机开启笔记截屏后，全屏广播时学生机可一键截取屏幕，保存上课重点信息；</w:t>
            </w:r>
          </w:p>
          <w:p w14:paraId="594D6885">
            <w:pPr>
              <w:rPr>
                <w:rFonts w:ascii="宋体" w:hAnsi="宋体" w:cs="宋体"/>
                <w:color w:val="auto"/>
                <w:szCs w:val="21"/>
                <w:highlight w:val="none"/>
              </w:rPr>
            </w:pPr>
            <w:r>
              <w:rPr>
                <w:rFonts w:hint="eastAsia" w:ascii="宋体" w:hAnsi="宋体" w:cs="宋体"/>
                <w:color w:val="FF0000"/>
                <w:szCs w:val="21"/>
                <w:highlight w:val="none"/>
              </w:rPr>
              <w:t>3．</w:t>
            </w:r>
            <w:r>
              <w:rPr>
                <w:rFonts w:hint="eastAsia" w:ascii="宋体" w:hAnsi="宋体" w:cs="宋体"/>
                <w:color w:val="auto"/>
                <w:szCs w:val="21"/>
                <w:highlight w:val="none"/>
              </w:rPr>
              <w:t xml:space="preserve">教师机可以连续监看所选学生机屏幕，每屏可监视多个学生,可设置每屏学生机的数量以及学生机屏幕轮循的时间间隔（提供具备CMA标识的产品功能测试报告复印件或扫描件并加盖公章）；  </w:t>
            </w:r>
          </w:p>
          <w:p w14:paraId="7A0D727E">
            <w:pPr>
              <w:rPr>
                <w:rFonts w:ascii="宋体" w:hAnsi="宋体" w:cs="宋体"/>
                <w:color w:val="auto"/>
                <w:szCs w:val="21"/>
                <w:highlight w:val="none"/>
              </w:rPr>
            </w:pPr>
            <w:r>
              <w:rPr>
                <w:rFonts w:hint="eastAsia" w:ascii="宋体" w:hAnsi="宋体" w:cs="宋体"/>
                <w:color w:val="auto"/>
                <w:szCs w:val="21"/>
                <w:highlight w:val="none"/>
              </w:rPr>
              <w:t>4．教师机可控制学生机是否可开启麦克风进行对话，开启语音连麦后，教师和学生可通过麦克风对话，语音交流可被班级其它所有学生听到，便于课堂语音互动；</w:t>
            </w:r>
          </w:p>
          <w:p w14:paraId="56D4F49D">
            <w:pPr>
              <w:rPr>
                <w:rFonts w:ascii="宋体" w:hAnsi="宋体" w:cs="宋体"/>
                <w:color w:val="auto"/>
                <w:szCs w:val="21"/>
                <w:highlight w:val="none"/>
              </w:rPr>
            </w:pPr>
            <w:r>
              <w:rPr>
                <w:rFonts w:hint="eastAsia" w:ascii="宋体" w:hAnsi="宋体" w:cs="宋体"/>
                <w:color w:val="auto"/>
                <w:szCs w:val="21"/>
                <w:highlight w:val="none"/>
              </w:rPr>
              <w:t>5．支持保存电子点名信息为班级座位信息，老师可导入班级座位信息，将机房上机机位与学生信息进行绑定，便于学生来机房后使用固定位置上机；</w:t>
            </w:r>
          </w:p>
          <w:p w14:paraId="52C9F881">
            <w:pPr>
              <w:rPr>
                <w:rFonts w:ascii="宋体" w:hAnsi="宋体" w:cs="宋体"/>
                <w:color w:val="auto"/>
                <w:szCs w:val="21"/>
                <w:highlight w:val="none"/>
              </w:rPr>
            </w:pPr>
            <w:r>
              <w:rPr>
                <w:rFonts w:hint="eastAsia" w:ascii="宋体" w:hAnsi="宋体" w:cs="宋体"/>
                <w:color w:val="auto"/>
                <w:szCs w:val="21"/>
                <w:highlight w:val="none"/>
              </w:rPr>
              <w:t>6．支持远程命令（包括一键关闭应用程序，一键关闭学生打开的Windows类窗口）、远程开机，远程关机等功能；</w:t>
            </w:r>
          </w:p>
          <w:p w14:paraId="25170F4F">
            <w:pPr>
              <w:rPr>
                <w:rFonts w:ascii="宋体" w:hAnsi="宋体" w:cs="宋体"/>
                <w:color w:val="auto"/>
                <w:szCs w:val="21"/>
                <w:highlight w:val="none"/>
              </w:rPr>
            </w:pPr>
            <w:r>
              <w:rPr>
                <w:rFonts w:hint="eastAsia" w:ascii="宋体" w:hAnsi="宋体" w:cs="宋体"/>
                <w:color w:val="auto"/>
                <w:szCs w:val="21"/>
                <w:highlight w:val="none"/>
              </w:rPr>
              <w:t>7．支持屏幕录制与回放，教师机可以将本机的操作过程、讲解录制为一个文件，内容可回放，并可通过屏幕广播给学生；</w:t>
            </w:r>
          </w:p>
          <w:p w14:paraId="7174C01F">
            <w:pPr>
              <w:rPr>
                <w:rFonts w:ascii="宋体" w:hAnsi="宋体" w:cs="宋体"/>
                <w:color w:val="auto"/>
                <w:szCs w:val="21"/>
                <w:highlight w:val="none"/>
              </w:rPr>
            </w:pPr>
            <w:r>
              <w:rPr>
                <w:rFonts w:hint="eastAsia" w:ascii="宋体" w:hAnsi="宋体" w:cs="宋体"/>
                <w:color w:val="auto"/>
                <w:szCs w:val="21"/>
                <w:highlight w:val="none"/>
              </w:rPr>
              <w:t>8．支持电子白板功能，可用电子白版进行绘制演示，并可共享到学生机，支持教师和学生协作共同通过电子白版进行知识总结、画面制作等；</w:t>
            </w:r>
          </w:p>
          <w:p w14:paraId="4C1BBD79">
            <w:pPr>
              <w:rPr>
                <w:rFonts w:ascii="宋体" w:hAnsi="宋体" w:cs="宋体"/>
                <w:color w:val="auto"/>
                <w:szCs w:val="21"/>
                <w:highlight w:val="none"/>
              </w:rPr>
            </w:pPr>
            <w:r>
              <w:rPr>
                <w:rFonts w:hint="eastAsia" w:ascii="宋体" w:hAnsi="宋体" w:cs="宋体"/>
                <w:color w:val="auto"/>
                <w:szCs w:val="21"/>
                <w:highlight w:val="none"/>
              </w:rPr>
              <w:t>9．支持黑屏肃静，教师可对学生执行黑屏肃静操作，能够自定义黑屏肃静的提示信息，支持手动解锁、按时解锁、按时长解锁；</w:t>
            </w:r>
          </w:p>
          <w:p w14:paraId="1DBAF7EA">
            <w:pPr>
              <w:rPr>
                <w:rFonts w:ascii="宋体" w:hAnsi="宋体" w:cs="宋体"/>
                <w:color w:val="auto"/>
                <w:szCs w:val="21"/>
                <w:highlight w:val="none"/>
              </w:rPr>
            </w:pPr>
            <w:r>
              <w:rPr>
                <w:rFonts w:hint="eastAsia" w:ascii="宋体" w:hAnsi="宋体" w:cs="宋体"/>
                <w:color w:val="auto"/>
                <w:szCs w:val="21"/>
                <w:highlight w:val="none"/>
              </w:rPr>
              <w:t>10．教师机对学生执行黑屏肃静后，支持追加学生执行黑屏肃静，也支持对单个学生机取消黑屏肃静，上课管理更灵活；</w:t>
            </w:r>
          </w:p>
          <w:p w14:paraId="09A3DFB3">
            <w:pPr>
              <w:rPr>
                <w:rFonts w:ascii="宋体" w:hAnsi="宋体" w:cs="宋体"/>
                <w:color w:val="auto"/>
                <w:szCs w:val="21"/>
                <w:highlight w:val="none"/>
              </w:rPr>
            </w:pPr>
            <w:r>
              <w:rPr>
                <w:rFonts w:hint="eastAsia" w:ascii="宋体" w:hAnsi="宋体" w:cs="宋体"/>
                <w:color w:val="auto"/>
                <w:szCs w:val="21"/>
                <w:highlight w:val="none"/>
              </w:rPr>
              <w:t>11．支持班级学生使用固定位置上机，开机后学生机显示该座位绑定的学生信息，学生可根据自己的姓名找到上一次上机的位置进行上机，并可直接上机签到；</w:t>
            </w:r>
          </w:p>
          <w:p w14:paraId="23A6D293">
            <w:pPr>
              <w:rPr>
                <w:rFonts w:ascii="宋体" w:hAnsi="宋体" w:cs="宋体"/>
                <w:color w:val="auto"/>
                <w:szCs w:val="21"/>
                <w:highlight w:val="none"/>
              </w:rPr>
            </w:pPr>
            <w:r>
              <w:rPr>
                <w:rFonts w:hint="eastAsia" w:ascii="宋体" w:hAnsi="宋体" w:cs="宋体"/>
                <w:color w:val="auto"/>
                <w:szCs w:val="21"/>
                <w:highlight w:val="none"/>
              </w:rPr>
              <w:t xml:space="preserve">12．提供行为管控模块，支持程序黑白名单限制，支持禁用外网，禁用USB设备，教师端主界面可展示USB设备、程序、网络禁用状态； </w:t>
            </w:r>
          </w:p>
          <w:p w14:paraId="0341A313">
            <w:pPr>
              <w:rPr>
                <w:rFonts w:ascii="宋体" w:hAnsi="宋体" w:cs="宋体"/>
                <w:color w:val="auto"/>
                <w:szCs w:val="21"/>
                <w:highlight w:val="none"/>
              </w:rPr>
            </w:pPr>
            <w:r>
              <w:rPr>
                <w:rFonts w:hint="eastAsia" w:ascii="宋体" w:hAnsi="宋体" w:cs="宋体"/>
                <w:color w:val="auto"/>
                <w:szCs w:val="21"/>
                <w:highlight w:val="none"/>
              </w:rPr>
              <w:t xml:space="preserve">13．支持对学生的网络搜索进行关键字屏蔽，教师机设置限制搜索的关键词后，学生机通过浏览器搜索禁用的关键词，会自动弹出提示信息，或直接关闭学生机浏览器； </w:t>
            </w:r>
          </w:p>
          <w:p w14:paraId="26F80A34">
            <w:pPr>
              <w:rPr>
                <w:rFonts w:ascii="宋体" w:hAnsi="宋体" w:cs="宋体"/>
                <w:color w:val="auto"/>
                <w:szCs w:val="21"/>
                <w:highlight w:val="none"/>
              </w:rPr>
            </w:pPr>
            <w:r>
              <w:rPr>
                <w:rFonts w:hint="eastAsia" w:ascii="宋体" w:hAnsi="宋体" w:cs="宋体"/>
                <w:color w:val="FF0000"/>
                <w:szCs w:val="21"/>
                <w:highlight w:val="none"/>
              </w:rPr>
              <w:t>14．</w:t>
            </w:r>
            <w:r>
              <w:rPr>
                <w:rFonts w:hint="eastAsia" w:ascii="宋体" w:hAnsi="宋体" w:cs="宋体"/>
                <w:color w:val="auto"/>
                <w:szCs w:val="21"/>
                <w:highlight w:val="none"/>
              </w:rPr>
              <w:t>支持与桌面云软件融合打通，通过教学软件实现操作系统一键切换，可关闭云桌面服务器和学生机。（提供具备CMA标识的产品功能测试报告复印件或扫描件并加盖</w:t>
            </w: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rPr>
              <w:t xml:space="preserve">公章） </w:t>
            </w:r>
          </w:p>
        </w:tc>
      </w:tr>
      <w:tr w14:paraId="2E6B643B">
        <w:tblPrEx>
          <w:tblCellMar>
            <w:top w:w="0" w:type="dxa"/>
            <w:left w:w="108" w:type="dxa"/>
            <w:bottom w:w="0" w:type="dxa"/>
            <w:right w:w="108" w:type="dxa"/>
          </w:tblCellMar>
        </w:tblPrEx>
        <w:trPr>
          <w:trHeight w:val="360" w:hRule="atLeast"/>
        </w:trPr>
        <w:tc>
          <w:tcPr>
            <w:tcW w:w="513" w:type="dxa"/>
            <w:tcBorders>
              <w:top w:val="single" w:color="000000" w:sz="4" w:space="0"/>
              <w:left w:val="single" w:color="000000" w:sz="4" w:space="0"/>
              <w:bottom w:val="single" w:color="000000" w:sz="4" w:space="0"/>
              <w:right w:val="single" w:color="000000" w:sz="4" w:space="0"/>
            </w:tcBorders>
            <w:vAlign w:val="center"/>
          </w:tcPr>
          <w:p w14:paraId="33CB2940">
            <w:pPr>
              <w:rPr>
                <w:rFonts w:ascii="宋体" w:hAnsi="宋体" w:cs="宋体"/>
                <w:color w:val="auto"/>
                <w:szCs w:val="21"/>
                <w:highlight w:val="none"/>
                <w:lang w:bidi="ar"/>
              </w:rPr>
            </w:pPr>
            <w:r>
              <w:rPr>
                <w:rFonts w:hint="eastAsia" w:ascii="宋体" w:hAnsi="宋体" w:cs="宋体"/>
                <w:color w:val="auto"/>
                <w:szCs w:val="21"/>
                <w:highlight w:val="none"/>
                <w:lang w:bidi="ar"/>
              </w:rPr>
              <w:t>5</w:t>
            </w:r>
          </w:p>
        </w:tc>
        <w:tc>
          <w:tcPr>
            <w:tcW w:w="1618" w:type="dxa"/>
            <w:tcBorders>
              <w:top w:val="single" w:color="000000" w:sz="4" w:space="0"/>
              <w:left w:val="single" w:color="000000" w:sz="4" w:space="0"/>
              <w:bottom w:val="single" w:color="000000" w:sz="4" w:space="0"/>
              <w:right w:val="single" w:color="000000" w:sz="4" w:space="0"/>
            </w:tcBorders>
            <w:vAlign w:val="center"/>
          </w:tcPr>
          <w:p w14:paraId="79730454">
            <w:pPr>
              <w:rPr>
                <w:rFonts w:ascii="宋体" w:hAnsi="宋体" w:cs="宋体"/>
                <w:color w:val="auto"/>
                <w:szCs w:val="21"/>
                <w:highlight w:val="none"/>
              </w:rPr>
            </w:pPr>
            <w:r>
              <w:rPr>
                <w:rFonts w:hint="eastAsia" w:ascii="宋体" w:hAnsi="宋体" w:cs="宋体"/>
                <w:color w:val="auto"/>
                <w:szCs w:val="21"/>
                <w:highlight w:val="none"/>
                <w:lang w:bidi="ar"/>
              </w:rPr>
              <w:t>桌面运维管理软件</w:t>
            </w:r>
          </w:p>
        </w:tc>
        <w:tc>
          <w:tcPr>
            <w:tcW w:w="7849" w:type="dxa"/>
            <w:tcBorders>
              <w:top w:val="single" w:color="000000" w:sz="4" w:space="0"/>
              <w:left w:val="single" w:color="000000" w:sz="4" w:space="0"/>
              <w:bottom w:val="single" w:color="000000" w:sz="4" w:space="0"/>
              <w:right w:val="single" w:color="000000" w:sz="4" w:space="0"/>
            </w:tcBorders>
            <w:vAlign w:val="center"/>
          </w:tcPr>
          <w:p w14:paraId="1A223380">
            <w:pPr>
              <w:rPr>
                <w:rFonts w:ascii="宋体" w:hAnsi="宋体" w:cs="宋体"/>
                <w:color w:val="auto"/>
                <w:szCs w:val="21"/>
                <w:highlight w:val="none"/>
              </w:rPr>
            </w:pPr>
            <w:r>
              <w:rPr>
                <w:rFonts w:hint="eastAsia" w:ascii="宋体" w:hAnsi="宋体" w:cs="宋体"/>
                <w:color w:val="auto"/>
                <w:szCs w:val="21"/>
                <w:highlight w:val="none"/>
              </w:rPr>
              <w:t>1．平台采用B/S架构，支持通过浏览器访问服务平台，对机房实验室的桌面进行统一管理，包括上机管理，运维管理，资产管理，安全管理等；</w:t>
            </w:r>
          </w:p>
          <w:p w14:paraId="2AEAD95B">
            <w:pPr>
              <w:rPr>
                <w:rFonts w:ascii="宋体" w:hAnsi="宋体" w:cs="宋体"/>
                <w:color w:val="auto"/>
                <w:szCs w:val="21"/>
                <w:highlight w:val="none"/>
              </w:rPr>
            </w:pPr>
            <w:r>
              <w:rPr>
                <w:rFonts w:hint="eastAsia" w:ascii="宋体" w:hAnsi="宋体" w:cs="宋体"/>
                <w:color w:val="auto"/>
                <w:szCs w:val="21"/>
                <w:highlight w:val="none"/>
              </w:rPr>
              <w:t>2．支持展示实验室资源数据使用，包括实验室在线/总数、终端在线/总数、桌面在线/总数；展示实验室资产状态，包括终端的风险预警次数、待处理变更数、待处理报修数;展示服务器资源实时使用情况，包括 CPU 使用、内存使用信息、存储使用信息;展示桌面今日并发趋势。</w:t>
            </w:r>
          </w:p>
          <w:p w14:paraId="68F59A8F">
            <w:pPr>
              <w:rPr>
                <w:rFonts w:ascii="宋体" w:hAnsi="宋体" w:cs="宋体"/>
                <w:color w:val="auto"/>
                <w:szCs w:val="21"/>
                <w:highlight w:val="none"/>
              </w:rPr>
            </w:pPr>
            <w:r>
              <w:rPr>
                <w:rFonts w:hint="eastAsia" w:ascii="宋体" w:hAnsi="宋体" w:cs="宋体"/>
                <w:color w:val="auto"/>
                <w:szCs w:val="21"/>
                <w:highlight w:val="none"/>
              </w:rPr>
              <w:t>3．支持设置实验室电脑终端的上机登录方式，可设置登录和免登录方式；选择登录时，则必须使用账号密码或扫码登录，登录成功后，进入桌面；选择“免登录”，则无须登录，直接进入桌面；登录模式可以选择上机对象，包括全校全体师生、指定院系师生；（提供功能截图）</w:t>
            </w:r>
          </w:p>
          <w:p w14:paraId="2C12A916">
            <w:pPr>
              <w:rPr>
                <w:rFonts w:ascii="宋体" w:hAnsi="宋体" w:cs="宋体"/>
                <w:color w:val="auto"/>
                <w:szCs w:val="21"/>
                <w:highlight w:val="none"/>
              </w:rPr>
            </w:pPr>
            <w:r>
              <w:rPr>
                <w:rFonts w:hint="eastAsia" w:ascii="宋体" w:hAnsi="宋体" w:cs="宋体"/>
                <w:color w:val="auto"/>
                <w:szCs w:val="21"/>
                <w:highlight w:val="none"/>
              </w:rPr>
              <w:t>4．可将上机违规学生手动方式拉入黑名单，拉入黑名单的学生不能进行登录上机；黑名单可以设置天数自动移除以及手动移除（提供具备CMA标识的产品功能测试报告复印件或扫描件）；</w:t>
            </w:r>
          </w:p>
          <w:p w14:paraId="5087F392">
            <w:pPr>
              <w:rPr>
                <w:rFonts w:ascii="宋体" w:hAnsi="宋体" w:cs="宋体"/>
                <w:color w:val="auto"/>
                <w:szCs w:val="21"/>
                <w:highlight w:val="none"/>
              </w:rPr>
            </w:pPr>
            <w:r>
              <w:rPr>
                <w:rFonts w:hint="eastAsia" w:ascii="宋体" w:hAnsi="宋体" w:cs="宋体"/>
                <w:color w:val="auto"/>
                <w:szCs w:val="21"/>
                <w:highlight w:val="none"/>
              </w:rPr>
              <w:t>5．可以统计每个学生上机过程中的上网记录，包括网址、访问时间，并可将记录以电子表格形式进行导出；可以统计师生上下机记录，包括总体使用时长、上机时间、下机时间，并可将记录以电子表格形式进行导出；可以统计终端的运行记录，包括终端开始运行时间、结束运行时间、终端使用时长，并可将记录以电子表格形式进行导出；</w:t>
            </w:r>
          </w:p>
          <w:p w14:paraId="2950103D">
            <w:pPr>
              <w:rPr>
                <w:rFonts w:ascii="宋体" w:hAnsi="宋体" w:cs="宋体"/>
                <w:color w:val="auto"/>
                <w:szCs w:val="21"/>
                <w:highlight w:val="none"/>
              </w:rPr>
            </w:pPr>
            <w:r>
              <w:rPr>
                <w:rFonts w:hint="eastAsia" w:ascii="宋体" w:hAnsi="宋体" w:cs="宋体"/>
                <w:color w:val="auto"/>
                <w:szCs w:val="21"/>
                <w:highlight w:val="none"/>
              </w:rPr>
              <w:t xml:space="preserve">6．支持智能监测捕获风险项，包括CPU高负载预警、内存高负载预警、磁盘IO高负载预警、系统盘空间不足预警、CPU高温预警、独立显卡高温预警、异常断电预警 、终端网卡链接低速预警（提供具备CMA标识的产品功能测试报告复印件或扫描件）； </w:t>
            </w:r>
          </w:p>
          <w:p w14:paraId="6FED31DF">
            <w:pPr>
              <w:rPr>
                <w:rFonts w:ascii="宋体" w:hAnsi="宋体" w:cs="宋体"/>
                <w:color w:val="auto"/>
                <w:szCs w:val="21"/>
                <w:highlight w:val="none"/>
              </w:rPr>
            </w:pPr>
            <w:r>
              <w:rPr>
                <w:rFonts w:hint="eastAsia" w:ascii="宋体" w:hAnsi="宋体" w:cs="宋体"/>
                <w:color w:val="auto"/>
                <w:szCs w:val="21"/>
                <w:highlight w:val="none"/>
              </w:rPr>
              <w:t>7．支持桌面管理，包括重启、关机、远程命令、多屏监看和流量监测，支持远程锁屏和断网锁屏；支持查看桌面运行信息，包括但不限于运行状态、桌面IP地址、桌面MAC地址、操作系统类型，行为安全策略等；</w:t>
            </w:r>
          </w:p>
          <w:p w14:paraId="3613F19F">
            <w:pPr>
              <w:rPr>
                <w:rFonts w:ascii="宋体" w:hAnsi="宋体" w:cs="宋体"/>
                <w:color w:val="auto"/>
                <w:szCs w:val="21"/>
                <w:highlight w:val="none"/>
              </w:rPr>
            </w:pPr>
            <w:r>
              <w:rPr>
                <w:rFonts w:hint="eastAsia" w:ascii="宋体" w:hAnsi="宋体" w:cs="宋体"/>
                <w:color w:val="auto"/>
                <w:szCs w:val="21"/>
                <w:highlight w:val="none"/>
              </w:rPr>
              <w:t xml:space="preserve">8．支持给终端电脑发送图文消息，可编辑图文消息的字体、文字颜色、背景色以及插入链接；（提供功能截图） </w:t>
            </w:r>
          </w:p>
          <w:p w14:paraId="4BE269F3">
            <w:pPr>
              <w:rPr>
                <w:rFonts w:ascii="宋体" w:hAnsi="宋体" w:cs="宋体"/>
                <w:color w:val="auto"/>
                <w:szCs w:val="21"/>
                <w:highlight w:val="none"/>
              </w:rPr>
            </w:pPr>
            <w:r>
              <w:rPr>
                <w:rFonts w:hint="eastAsia" w:ascii="宋体" w:hAnsi="宋体" w:cs="宋体"/>
                <w:color w:val="auto"/>
                <w:szCs w:val="21"/>
                <w:highlight w:val="none"/>
              </w:rPr>
              <w:t>9．支持定时消息，可对全部桌面或指定桌面或指定终端推送消息，包括上机推送和定时推送；上机推送可设定执行日期范围，定时推送可设定执行日期范围和执行时间；消息内容可编辑，消息显示时长默认显示3秒后自动关闭，可用于实验室安全文化宣传、校园文化宣传、考场规则阅读、新闻热点发布等场景；</w:t>
            </w:r>
          </w:p>
          <w:p w14:paraId="1D888D7A">
            <w:pPr>
              <w:rPr>
                <w:rFonts w:ascii="宋体" w:hAnsi="宋体" w:cs="宋体"/>
                <w:color w:val="auto"/>
                <w:szCs w:val="21"/>
                <w:highlight w:val="none"/>
              </w:rPr>
            </w:pPr>
            <w:r>
              <w:rPr>
                <w:rFonts w:hint="eastAsia" w:ascii="宋体" w:hAnsi="宋体" w:cs="宋体"/>
                <w:color w:val="auto"/>
                <w:szCs w:val="21"/>
                <w:highlight w:val="none"/>
              </w:rPr>
              <w:t>10．支持在客户端登录页，WEB端登录页开启并设置编辑公告信息，用于提醒师生使用哪一套账号密码登录、文件存储规范等；</w:t>
            </w:r>
          </w:p>
          <w:p w14:paraId="41E50437">
            <w:pPr>
              <w:rPr>
                <w:rFonts w:ascii="宋体" w:hAnsi="宋体" w:cs="宋体"/>
                <w:color w:val="auto"/>
                <w:szCs w:val="21"/>
                <w:highlight w:val="none"/>
              </w:rPr>
            </w:pPr>
            <w:r>
              <w:rPr>
                <w:rFonts w:hint="eastAsia" w:ascii="宋体" w:hAnsi="宋体" w:cs="宋体"/>
                <w:color w:val="auto"/>
                <w:szCs w:val="21"/>
                <w:highlight w:val="none"/>
              </w:rPr>
              <w:t>11．可对指定的机房桌面发送文件，可以查询到历史的文件发送记录，支持按文件名进行搜索；</w:t>
            </w:r>
          </w:p>
          <w:p w14:paraId="2EC47A84">
            <w:pPr>
              <w:rPr>
                <w:rFonts w:ascii="宋体" w:hAnsi="宋体" w:cs="宋体"/>
                <w:color w:val="auto"/>
                <w:szCs w:val="21"/>
                <w:highlight w:val="none"/>
              </w:rPr>
            </w:pPr>
            <w:r>
              <w:rPr>
                <w:rFonts w:hint="eastAsia" w:ascii="宋体" w:hAnsi="宋体" w:cs="宋体"/>
                <w:color w:val="auto"/>
                <w:szCs w:val="21"/>
                <w:highlight w:val="none"/>
              </w:rPr>
              <w:t>12．可设置程序限制策略，支持黑名单、白名单两种模式，支持从样机、文件的方式导入黑白名单；</w:t>
            </w:r>
          </w:p>
          <w:p w14:paraId="131A1186">
            <w:pPr>
              <w:rPr>
                <w:rFonts w:ascii="宋体" w:hAnsi="宋体" w:cs="宋体"/>
                <w:color w:val="auto"/>
                <w:szCs w:val="21"/>
                <w:highlight w:val="none"/>
              </w:rPr>
            </w:pPr>
            <w:r>
              <w:rPr>
                <w:rFonts w:hint="eastAsia" w:ascii="宋体" w:hAnsi="宋体" w:cs="宋体"/>
                <w:color w:val="auto"/>
                <w:szCs w:val="21"/>
                <w:highlight w:val="none"/>
              </w:rPr>
              <w:t>13．可设置流量限制策略，能够设定上行流量、下行流量，并可快速设置教师机例外；</w:t>
            </w:r>
          </w:p>
          <w:p w14:paraId="1B4842C0">
            <w:pPr>
              <w:rPr>
                <w:rFonts w:ascii="宋体" w:hAnsi="宋体" w:cs="宋体"/>
                <w:color w:val="auto"/>
                <w:szCs w:val="21"/>
                <w:highlight w:val="none"/>
              </w:rPr>
            </w:pPr>
            <w:r>
              <w:rPr>
                <w:rFonts w:hint="eastAsia" w:ascii="宋体" w:hAnsi="宋体" w:cs="宋体"/>
                <w:color w:val="auto"/>
                <w:szCs w:val="21"/>
                <w:highlight w:val="none"/>
              </w:rPr>
              <w:t>14．针对网络限制策略，能够设定禁用外网、禁用全部网络及黑名单，黑名单可基于域名、IP和端口进行设置，可设定禁用外网或全部网络时的白名单规则表；</w:t>
            </w:r>
          </w:p>
          <w:p w14:paraId="72FF815F">
            <w:pPr>
              <w:rPr>
                <w:rFonts w:ascii="宋体" w:hAnsi="宋体" w:cs="宋体"/>
                <w:color w:val="auto"/>
                <w:szCs w:val="21"/>
                <w:highlight w:val="none"/>
              </w:rPr>
            </w:pPr>
            <w:r>
              <w:rPr>
                <w:rFonts w:hint="eastAsia" w:ascii="宋体" w:hAnsi="宋体" w:cs="宋体"/>
                <w:color w:val="auto"/>
                <w:szCs w:val="21"/>
                <w:highlight w:val="none"/>
              </w:rPr>
              <w:t>15．为保障考试可追溯，支持考试录屏功能，可设置考试录屏策略，包括桌面录屏存放位置，执行日期范围，执行时间（支持多个时间段），可选择需要录屏的实验室终端桌面；录屏可设置教师机例外；</w:t>
            </w:r>
          </w:p>
          <w:p w14:paraId="7FD94B3B">
            <w:pPr>
              <w:rPr>
                <w:rFonts w:ascii="宋体" w:hAnsi="宋体" w:cs="宋体"/>
                <w:color w:val="auto"/>
                <w:szCs w:val="21"/>
                <w:highlight w:val="none"/>
              </w:rPr>
            </w:pPr>
            <w:r>
              <w:rPr>
                <w:rFonts w:hint="eastAsia" w:ascii="宋体" w:hAnsi="宋体" w:cs="宋体"/>
                <w:color w:val="auto"/>
                <w:szCs w:val="21"/>
                <w:highlight w:val="none"/>
              </w:rPr>
              <w:t xml:space="preserve">16．平台支持安全教育考试，管理员可在平台上编辑考试信息（如通过条件），可根据模板导入考试题目，指定需要参加考试的学生在登录上机时会自动弹出试题进行考试，通过之后才可正常使用电脑终端；可根据实际情况设置临时跳过考试答题的次数； </w:t>
            </w:r>
          </w:p>
          <w:p w14:paraId="1C4F001C">
            <w:pPr>
              <w:rPr>
                <w:rFonts w:ascii="宋体" w:hAnsi="宋体" w:cs="宋体"/>
                <w:color w:val="auto"/>
                <w:szCs w:val="21"/>
                <w:highlight w:val="none"/>
              </w:rPr>
            </w:pPr>
            <w:r>
              <w:rPr>
                <w:rFonts w:hint="eastAsia" w:ascii="宋体" w:hAnsi="宋体" w:cs="宋体"/>
                <w:color w:val="auto"/>
                <w:szCs w:val="21"/>
                <w:highlight w:val="none"/>
              </w:rPr>
              <w:t>17．可统计终端维修完成时间，管理人员可以统计报修提交到报修完成，整个过程历经多长时间，从而有效评估报修效率；</w:t>
            </w:r>
          </w:p>
          <w:p w14:paraId="3C38D487">
            <w:pPr>
              <w:rPr>
                <w:rFonts w:ascii="宋体" w:hAnsi="宋体" w:cs="宋体"/>
                <w:color w:val="auto"/>
                <w:szCs w:val="21"/>
                <w:highlight w:val="none"/>
              </w:rPr>
            </w:pPr>
            <w:r>
              <w:rPr>
                <w:rFonts w:hint="eastAsia" w:ascii="宋体" w:hAnsi="宋体" w:cs="宋体"/>
                <w:color w:val="auto"/>
                <w:szCs w:val="21"/>
                <w:highlight w:val="none"/>
              </w:rPr>
              <w:t>18．可统计每台终端电脑的使用时长、利用率、能耗、桌面使用次数、报修次数、硬件变更次数、风险预警次数（提供具备CMA标识的产品功能测试报告复印件或扫描件）；</w:t>
            </w:r>
          </w:p>
          <w:p w14:paraId="3FE3E5E0">
            <w:pPr>
              <w:rPr>
                <w:rFonts w:ascii="宋体" w:hAnsi="宋体" w:cs="宋体"/>
                <w:color w:val="auto"/>
                <w:szCs w:val="21"/>
                <w:highlight w:val="none"/>
              </w:rPr>
            </w:pPr>
            <w:r>
              <w:rPr>
                <w:rFonts w:hint="eastAsia" w:ascii="宋体" w:hAnsi="宋体" w:cs="宋体"/>
                <w:color w:val="auto"/>
                <w:szCs w:val="21"/>
                <w:highlight w:val="none"/>
              </w:rPr>
              <w:t>19．可统计不同实验室软件使用时长前50名信息、教学网站访问前50名信息以及软件使用类型，并可统计每个软件具体使用时长、每个教学网站访问次数，每种软件类型的使用次数；</w:t>
            </w:r>
          </w:p>
          <w:p w14:paraId="049C8014">
            <w:pPr>
              <w:rPr>
                <w:rFonts w:ascii="宋体" w:hAnsi="宋体" w:cs="宋体"/>
                <w:color w:val="auto"/>
                <w:szCs w:val="21"/>
                <w:highlight w:val="none"/>
              </w:rPr>
            </w:pPr>
            <w:r>
              <w:rPr>
                <w:rFonts w:hint="eastAsia" w:ascii="宋体" w:hAnsi="宋体" w:cs="宋体"/>
                <w:color w:val="auto"/>
                <w:szCs w:val="21"/>
                <w:highlight w:val="none"/>
              </w:rPr>
              <w:t>20．支持设置上网关键词；针对上网自主搜索信息可统计关键词搜索次数；并支持查看关键词的搜索记录；</w:t>
            </w:r>
          </w:p>
          <w:p w14:paraId="50D9E745">
            <w:pPr>
              <w:rPr>
                <w:rFonts w:ascii="宋体" w:hAnsi="宋体" w:cs="宋体"/>
                <w:color w:val="auto"/>
                <w:szCs w:val="21"/>
                <w:highlight w:val="none"/>
              </w:rPr>
            </w:pPr>
            <w:r>
              <w:rPr>
                <w:rFonts w:hint="eastAsia" w:ascii="宋体" w:hAnsi="宋体" w:cs="宋体"/>
                <w:color w:val="auto"/>
                <w:szCs w:val="21"/>
                <w:highlight w:val="none"/>
              </w:rPr>
              <w:t>21．支持以数据大屏形式呈现实验室实时状态，包括正在使用中的实验室数量、终端在线数、登录上机人数、桌面在线数、桌面今日并发趋势，师生上机记录(实验室、终端IP、姓名、上机时间)，近 30 天终端 CPU、内存、显卡等风险感知情况、安全上机策略应用情况等内容。</w:t>
            </w:r>
          </w:p>
          <w:p w14:paraId="515041DD">
            <w:pPr>
              <w:rPr>
                <w:rFonts w:ascii="宋体" w:hAnsi="宋体" w:cs="宋体"/>
                <w:color w:val="auto"/>
                <w:szCs w:val="21"/>
                <w:highlight w:val="none"/>
              </w:rPr>
            </w:pPr>
            <w:r>
              <w:rPr>
                <w:rFonts w:hint="eastAsia" w:ascii="宋体" w:hAnsi="宋体" w:cs="宋体"/>
                <w:color w:val="auto"/>
                <w:szCs w:val="21"/>
                <w:highlight w:val="none"/>
              </w:rPr>
              <w:t>22．管理员可以根据学校的要求调整实验室占用率、终端利用率的计算公式数值，有保障数据的有效性。</w:t>
            </w:r>
          </w:p>
          <w:p w14:paraId="2097B751">
            <w:pPr>
              <w:rPr>
                <w:rFonts w:ascii="宋体" w:hAnsi="宋体" w:cs="宋体"/>
                <w:color w:val="auto"/>
                <w:szCs w:val="21"/>
                <w:highlight w:val="none"/>
              </w:rPr>
            </w:pPr>
            <w:r>
              <w:rPr>
                <w:rFonts w:hint="eastAsia" w:ascii="宋体" w:hAnsi="宋体" w:cs="宋体"/>
                <w:color w:val="FF0000"/>
                <w:szCs w:val="21"/>
                <w:highlight w:val="none"/>
              </w:rPr>
              <w:t>23．</w:t>
            </w:r>
            <w:r>
              <w:rPr>
                <w:rFonts w:hint="eastAsia" w:ascii="宋体" w:hAnsi="宋体" w:cs="宋体"/>
                <w:color w:val="auto"/>
                <w:szCs w:val="21"/>
                <w:highlight w:val="none"/>
              </w:rPr>
              <w:t>支持与学院现有噢</w:t>
            </w:r>
            <w:r>
              <w:rPr>
                <w:rFonts w:hint="eastAsia" w:ascii="宋体" w:hAnsi="宋体" w:cs="宋体"/>
                <w:color w:val="auto"/>
                <w:szCs w:val="21"/>
                <w:highlight w:val="none"/>
                <w:lang w:val="en-US" w:eastAsia="zh-CN"/>
              </w:rPr>
              <w:t>易云</w:t>
            </w:r>
            <w:r>
              <w:rPr>
                <w:rFonts w:hint="eastAsia" w:ascii="宋体" w:hAnsi="宋体" w:cs="宋体"/>
                <w:color w:val="auto"/>
                <w:szCs w:val="21"/>
                <w:highlight w:val="none"/>
              </w:rPr>
              <w:t>云桌面平台无缝对接实现统一管理，用户单位提供原平台相关通用接口，投标人需提供对接承诺函并加盖</w:t>
            </w: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rPr>
              <w:t>公章</w:t>
            </w:r>
          </w:p>
        </w:tc>
      </w:tr>
      <w:tr w14:paraId="1733D865">
        <w:tblPrEx>
          <w:tblCellMar>
            <w:top w:w="0" w:type="dxa"/>
            <w:left w:w="108" w:type="dxa"/>
            <w:bottom w:w="0" w:type="dxa"/>
            <w:right w:w="108" w:type="dxa"/>
          </w:tblCellMar>
        </w:tblPrEx>
        <w:trPr>
          <w:trHeight w:val="360" w:hRule="atLeast"/>
        </w:trPr>
        <w:tc>
          <w:tcPr>
            <w:tcW w:w="513" w:type="dxa"/>
            <w:tcBorders>
              <w:top w:val="single" w:color="000000" w:sz="4" w:space="0"/>
              <w:left w:val="single" w:color="000000" w:sz="4" w:space="0"/>
              <w:bottom w:val="single" w:color="000000" w:sz="4" w:space="0"/>
              <w:right w:val="single" w:color="000000" w:sz="4" w:space="0"/>
            </w:tcBorders>
            <w:vAlign w:val="center"/>
          </w:tcPr>
          <w:p w14:paraId="594CCAAB">
            <w:pPr>
              <w:rPr>
                <w:rFonts w:ascii="宋体" w:hAnsi="宋体" w:cs="宋体"/>
                <w:color w:val="auto"/>
                <w:szCs w:val="21"/>
                <w:highlight w:val="none"/>
              </w:rPr>
            </w:pPr>
            <w:r>
              <w:rPr>
                <w:rFonts w:hint="eastAsia" w:ascii="宋体" w:hAnsi="宋体" w:cs="宋体"/>
                <w:color w:val="auto"/>
                <w:szCs w:val="21"/>
                <w:highlight w:val="none"/>
                <w:lang w:bidi="ar"/>
              </w:rPr>
              <w:t>6</w:t>
            </w:r>
          </w:p>
        </w:tc>
        <w:tc>
          <w:tcPr>
            <w:tcW w:w="1618" w:type="dxa"/>
            <w:tcBorders>
              <w:top w:val="single" w:color="000000" w:sz="4" w:space="0"/>
              <w:left w:val="single" w:color="000000" w:sz="4" w:space="0"/>
              <w:bottom w:val="single" w:color="000000" w:sz="4" w:space="0"/>
              <w:right w:val="single" w:color="000000" w:sz="4" w:space="0"/>
            </w:tcBorders>
            <w:vAlign w:val="center"/>
          </w:tcPr>
          <w:p w14:paraId="788DD84E">
            <w:pPr>
              <w:rPr>
                <w:rFonts w:ascii="宋体" w:hAnsi="宋体" w:cs="宋体"/>
                <w:color w:val="auto"/>
                <w:szCs w:val="21"/>
                <w:highlight w:val="none"/>
              </w:rPr>
            </w:pPr>
            <w:r>
              <w:rPr>
                <w:rFonts w:hint="eastAsia" w:ascii="宋体" w:hAnsi="宋体" w:cs="宋体"/>
                <w:color w:val="auto"/>
                <w:szCs w:val="21"/>
                <w:highlight w:val="none"/>
                <w:lang w:bidi="ar"/>
              </w:rPr>
              <w:t>投影仪</w:t>
            </w:r>
          </w:p>
        </w:tc>
        <w:tc>
          <w:tcPr>
            <w:tcW w:w="7849" w:type="dxa"/>
            <w:tcBorders>
              <w:top w:val="single" w:color="000000" w:sz="4" w:space="0"/>
              <w:left w:val="single" w:color="000000" w:sz="4" w:space="0"/>
              <w:bottom w:val="single" w:color="000000" w:sz="4" w:space="0"/>
              <w:right w:val="single" w:color="000000" w:sz="4" w:space="0"/>
            </w:tcBorders>
            <w:vAlign w:val="center"/>
          </w:tcPr>
          <w:p w14:paraId="3070F90E">
            <w:pPr>
              <w:rPr>
                <w:color w:val="auto"/>
                <w:highlight w:val="none"/>
              </w:rPr>
            </w:pPr>
            <w:r>
              <w:rPr>
                <w:rFonts w:hint="eastAsia"/>
                <w:color w:val="auto"/>
                <w:highlight w:val="none"/>
              </w:rPr>
              <w:t>1、液晶板≥0.62英寸含微透镜，亮度5000流明及以上（ISO21118标准）；</w:t>
            </w:r>
          </w:p>
          <w:p w14:paraId="790F53FE">
            <w:pPr>
              <w:rPr>
                <w:color w:val="auto"/>
                <w:highlight w:val="none"/>
              </w:rPr>
            </w:pPr>
            <w:r>
              <w:rPr>
                <w:rFonts w:hint="eastAsia"/>
                <w:color w:val="auto"/>
                <w:highlight w:val="none"/>
              </w:rPr>
              <w:t>2、分辨率：1920x1080；对比度≥2500000：1</w:t>
            </w:r>
          </w:p>
          <w:p w14:paraId="5C16232B">
            <w:pPr>
              <w:rPr>
                <w:color w:val="auto"/>
                <w:highlight w:val="none"/>
              </w:rPr>
            </w:pPr>
            <w:r>
              <w:rPr>
                <w:rFonts w:hint="eastAsia"/>
                <w:color w:val="auto"/>
                <w:highlight w:val="none"/>
              </w:rPr>
              <w:t>3、镜头：手动聚焦，≥1.35倍数字变焦；焦距：F=1.60/f=3.7mm；投射比：0.26（广角）-0.36（长焦）；</w:t>
            </w:r>
          </w:p>
          <w:p w14:paraId="5850180A">
            <w:pPr>
              <w:rPr>
                <w:color w:val="auto"/>
                <w:highlight w:val="none"/>
              </w:rPr>
            </w:pPr>
            <w:r>
              <w:rPr>
                <w:rFonts w:hint="eastAsia"/>
                <w:color w:val="auto"/>
                <w:highlight w:val="none"/>
              </w:rPr>
              <w:t>4、 ≥+/-3度水平/垂直梯形校正，具有Quick Corner功能快速调整投影图像；</w:t>
            </w:r>
          </w:p>
          <w:p w14:paraId="13B7154C">
            <w:pPr>
              <w:rPr>
                <w:color w:val="auto"/>
                <w:highlight w:val="none"/>
              </w:rPr>
            </w:pPr>
            <w:r>
              <w:rPr>
                <w:rFonts w:hint="eastAsia"/>
                <w:color w:val="auto"/>
                <w:highlight w:val="none"/>
              </w:rPr>
              <w:t>5、≤81cm内的距离投射出130英寸16:9大画面（镜头到墙面的距离）；并且支持16:6画面投射；（提供官网截图和链接）</w:t>
            </w:r>
          </w:p>
          <w:p w14:paraId="71B8BA08">
            <w:pPr>
              <w:rPr>
                <w:color w:val="auto"/>
                <w:highlight w:val="none"/>
              </w:rPr>
            </w:pPr>
            <w:r>
              <w:rPr>
                <w:rFonts w:hint="eastAsia"/>
                <w:color w:val="FF0000"/>
                <w:highlight w:val="none"/>
              </w:rPr>
              <w:t>6、</w:t>
            </w:r>
            <w:r>
              <w:rPr>
                <w:rFonts w:hint="eastAsia"/>
                <w:color w:val="auto"/>
                <w:highlight w:val="none"/>
              </w:rPr>
              <w:t>纯激光光源：激光二极管,使用寿命≥20000小时(标准模式)；</w:t>
            </w:r>
          </w:p>
          <w:p w14:paraId="56C5B24D">
            <w:pPr>
              <w:rPr>
                <w:color w:val="auto"/>
                <w:highlight w:val="none"/>
              </w:rPr>
            </w:pPr>
            <w:r>
              <w:rPr>
                <w:rFonts w:hint="eastAsia"/>
                <w:color w:val="auto"/>
                <w:highlight w:val="none"/>
              </w:rPr>
              <w:t>7、5秒快速启动模式，即时冷却；</w:t>
            </w:r>
          </w:p>
          <w:p w14:paraId="7956154D">
            <w:pPr>
              <w:rPr>
                <w:color w:val="auto"/>
                <w:highlight w:val="none"/>
              </w:rPr>
            </w:pPr>
            <w:r>
              <w:rPr>
                <w:rFonts w:hint="eastAsia"/>
                <w:color w:val="auto"/>
                <w:highlight w:val="none"/>
              </w:rPr>
              <w:t>8、≥3个HDMI 接口（提供实物接口照片）；带HDBaseT接口 x 1；带麦克风接口；</w:t>
            </w:r>
          </w:p>
          <w:p w14:paraId="767C294C">
            <w:pPr>
              <w:rPr>
                <w:color w:val="auto"/>
                <w:highlight w:val="none"/>
              </w:rPr>
            </w:pPr>
            <w:r>
              <w:rPr>
                <w:rFonts w:hint="eastAsia"/>
                <w:color w:val="auto"/>
                <w:highlight w:val="none"/>
              </w:rPr>
              <w:t>9、 自带边缘融合功能可实现用2台投影机拼接超宽屏画面， 使两个画面无缝连接；（提供官网功能截图和链接）；</w:t>
            </w:r>
          </w:p>
          <w:p w14:paraId="6659383D">
            <w:pPr>
              <w:rPr>
                <w:rFonts w:ascii="宋体" w:hAnsi="宋体" w:cs="宋体"/>
                <w:color w:val="auto"/>
                <w:szCs w:val="21"/>
                <w:highlight w:val="none"/>
              </w:rPr>
            </w:pPr>
            <w:r>
              <w:rPr>
                <w:rFonts w:hint="eastAsia"/>
                <w:color w:val="auto"/>
                <w:highlight w:val="none"/>
              </w:rPr>
              <w:t>10、支持无线投影，通过配置的软件，可在电脑或移动设备上实现无线连接；</w:t>
            </w:r>
          </w:p>
        </w:tc>
      </w:tr>
      <w:tr w14:paraId="056570C4">
        <w:tblPrEx>
          <w:tblCellMar>
            <w:top w:w="0" w:type="dxa"/>
            <w:left w:w="108" w:type="dxa"/>
            <w:bottom w:w="0" w:type="dxa"/>
            <w:right w:w="108" w:type="dxa"/>
          </w:tblCellMar>
        </w:tblPrEx>
        <w:trPr>
          <w:trHeight w:val="360" w:hRule="atLeast"/>
        </w:trPr>
        <w:tc>
          <w:tcPr>
            <w:tcW w:w="513" w:type="dxa"/>
            <w:tcBorders>
              <w:top w:val="single" w:color="000000" w:sz="4" w:space="0"/>
              <w:left w:val="single" w:color="000000" w:sz="4" w:space="0"/>
              <w:bottom w:val="single" w:color="000000" w:sz="4" w:space="0"/>
              <w:right w:val="single" w:color="000000" w:sz="4" w:space="0"/>
            </w:tcBorders>
            <w:vAlign w:val="center"/>
          </w:tcPr>
          <w:p w14:paraId="663606D4">
            <w:pPr>
              <w:rPr>
                <w:rFonts w:ascii="宋体" w:hAnsi="宋体" w:cs="宋体"/>
                <w:color w:val="auto"/>
                <w:szCs w:val="21"/>
                <w:highlight w:val="none"/>
              </w:rPr>
            </w:pPr>
            <w:r>
              <w:rPr>
                <w:rFonts w:hint="eastAsia" w:ascii="宋体" w:hAnsi="宋体" w:cs="宋体"/>
                <w:color w:val="auto"/>
                <w:szCs w:val="21"/>
                <w:highlight w:val="none"/>
                <w:lang w:bidi="ar"/>
              </w:rPr>
              <w:t>7</w:t>
            </w:r>
          </w:p>
        </w:tc>
        <w:tc>
          <w:tcPr>
            <w:tcW w:w="1618" w:type="dxa"/>
            <w:tcBorders>
              <w:top w:val="single" w:color="000000" w:sz="4" w:space="0"/>
              <w:left w:val="single" w:color="000000" w:sz="4" w:space="0"/>
              <w:bottom w:val="single" w:color="000000" w:sz="4" w:space="0"/>
              <w:right w:val="single" w:color="000000" w:sz="4" w:space="0"/>
            </w:tcBorders>
            <w:vAlign w:val="center"/>
          </w:tcPr>
          <w:p w14:paraId="7B98F89E">
            <w:pPr>
              <w:rPr>
                <w:rFonts w:ascii="宋体" w:hAnsi="宋体" w:cs="宋体"/>
                <w:color w:val="auto"/>
                <w:szCs w:val="21"/>
                <w:highlight w:val="none"/>
              </w:rPr>
            </w:pPr>
            <w:r>
              <w:rPr>
                <w:rFonts w:hint="eastAsia" w:ascii="宋体" w:hAnsi="宋体" w:cs="宋体"/>
                <w:color w:val="auto"/>
                <w:szCs w:val="21"/>
                <w:highlight w:val="none"/>
                <w:lang w:bidi="ar"/>
              </w:rPr>
              <w:t>推拉黑板</w:t>
            </w:r>
          </w:p>
        </w:tc>
        <w:tc>
          <w:tcPr>
            <w:tcW w:w="7849" w:type="dxa"/>
            <w:tcBorders>
              <w:top w:val="single" w:color="000000" w:sz="4" w:space="0"/>
              <w:left w:val="single" w:color="000000" w:sz="4" w:space="0"/>
              <w:bottom w:val="single" w:color="000000" w:sz="4" w:space="0"/>
              <w:right w:val="single" w:color="000000" w:sz="4" w:space="0"/>
            </w:tcBorders>
            <w:vAlign w:val="center"/>
          </w:tcPr>
          <w:p w14:paraId="703171DC">
            <w:pPr>
              <w:rPr>
                <w:rFonts w:ascii="宋体" w:hAnsi="宋体" w:cs="宋体"/>
                <w:color w:val="auto"/>
                <w:szCs w:val="21"/>
                <w:highlight w:val="none"/>
              </w:rPr>
            </w:pPr>
            <w:r>
              <w:rPr>
                <w:rFonts w:hint="eastAsia" w:ascii="宋体" w:hAnsi="宋体" w:cs="宋体"/>
                <w:color w:val="auto"/>
                <w:szCs w:val="21"/>
                <w:highlight w:val="none"/>
              </w:rPr>
              <w:t>定制120～150寸画框幕布+书写黑板，投影画框幕尺寸：120～150寸（16:9），共4块黑板，中间2块黑板可向旁边推移露出完整画框幕。</w:t>
            </w:r>
          </w:p>
        </w:tc>
      </w:tr>
      <w:tr w14:paraId="55EC7ABA">
        <w:tblPrEx>
          <w:tblCellMar>
            <w:top w:w="0" w:type="dxa"/>
            <w:left w:w="108" w:type="dxa"/>
            <w:bottom w:w="0" w:type="dxa"/>
            <w:right w:w="108" w:type="dxa"/>
          </w:tblCellMar>
        </w:tblPrEx>
        <w:trPr>
          <w:trHeight w:val="360" w:hRule="atLeast"/>
        </w:trPr>
        <w:tc>
          <w:tcPr>
            <w:tcW w:w="513" w:type="dxa"/>
            <w:tcBorders>
              <w:top w:val="single" w:color="000000" w:sz="4" w:space="0"/>
              <w:left w:val="single" w:color="000000" w:sz="4" w:space="0"/>
              <w:bottom w:val="single" w:color="000000" w:sz="4" w:space="0"/>
              <w:right w:val="single" w:color="000000" w:sz="4" w:space="0"/>
            </w:tcBorders>
            <w:vAlign w:val="center"/>
          </w:tcPr>
          <w:p w14:paraId="745EBA74">
            <w:pPr>
              <w:rPr>
                <w:rFonts w:ascii="宋体" w:hAnsi="宋体" w:cs="宋体"/>
                <w:color w:val="auto"/>
                <w:szCs w:val="21"/>
                <w:highlight w:val="none"/>
                <w:lang w:bidi="ar"/>
              </w:rPr>
            </w:pPr>
            <w:r>
              <w:rPr>
                <w:rFonts w:hint="eastAsia" w:ascii="宋体" w:hAnsi="宋体" w:cs="宋体"/>
                <w:color w:val="auto"/>
                <w:szCs w:val="21"/>
                <w:highlight w:val="none"/>
                <w:lang w:bidi="ar"/>
              </w:rPr>
              <w:t>8</w:t>
            </w:r>
          </w:p>
        </w:tc>
        <w:tc>
          <w:tcPr>
            <w:tcW w:w="1618" w:type="dxa"/>
            <w:tcBorders>
              <w:top w:val="single" w:color="000000" w:sz="4" w:space="0"/>
              <w:left w:val="single" w:color="000000" w:sz="4" w:space="0"/>
              <w:bottom w:val="single" w:color="000000" w:sz="4" w:space="0"/>
              <w:right w:val="single" w:color="000000" w:sz="4" w:space="0"/>
            </w:tcBorders>
            <w:vAlign w:val="center"/>
          </w:tcPr>
          <w:p w14:paraId="2086B07A">
            <w:pPr>
              <w:rPr>
                <w:rFonts w:ascii="宋体" w:hAnsi="宋体" w:cs="宋体"/>
                <w:color w:val="auto"/>
                <w:szCs w:val="21"/>
                <w:highlight w:val="none"/>
                <w:lang w:bidi="ar"/>
              </w:rPr>
            </w:pPr>
            <w:r>
              <w:rPr>
                <w:rFonts w:hint="eastAsia" w:ascii="宋体" w:hAnsi="宋体" w:cs="宋体"/>
                <w:color w:val="auto"/>
                <w:szCs w:val="21"/>
                <w:highlight w:val="none"/>
                <w:lang w:bidi="ar"/>
              </w:rPr>
              <w:t>麦克风（吊麦）</w:t>
            </w:r>
          </w:p>
        </w:tc>
        <w:tc>
          <w:tcPr>
            <w:tcW w:w="7849" w:type="dxa"/>
            <w:tcBorders>
              <w:top w:val="single" w:color="000000" w:sz="4" w:space="0"/>
              <w:left w:val="single" w:color="000000" w:sz="4" w:space="0"/>
              <w:bottom w:val="single" w:color="000000" w:sz="4" w:space="0"/>
              <w:right w:val="single" w:color="000000" w:sz="4" w:space="0"/>
            </w:tcBorders>
            <w:vAlign w:val="center"/>
          </w:tcPr>
          <w:p w14:paraId="787A37B7">
            <w:pPr>
              <w:rPr>
                <w:rFonts w:ascii="宋体" w:hAnsi="宋体" w:cs="宋体"/>
                <w:color w:val="auto"/>
                <w:szCs w:val="21"/>
                <w:highlight w:val="none"/>
              </w:rPr>
            </w:pPr>
            <w:r>
              <w:rPr>
                <w:rFonts w:hint="eastAsia" w:ascii="宋体" w:hAnsi="宋体" w:cs="宋体"/>
                <w:color w:val="auto"/>
                <w:szCs w:val="21"/>
                <w:highlight w:val="none"/>
              </w:rPr>
              <w:t>1、传感器类型：电容式；</w:t>
            </w:r>
          </w:p>
          <w:p w14:paraId="6C8238D5">
            <w:pPr>
              <w:rPr>
                <w:rFonts w:ascii="宋体" w:hAnsi="宋体" w:cs="宋体"/>
                <w:color w:val="auto"/>
                <w:szCs w:val="21"/>
                <w:highlight w:val="none"/>
              </w:rPr>
            </w:pPr>
            <w:r>
              <w:rPr>
                <w:rFonts w:hint="eastAsia" w:ascii="宋体" w:hAnsi="宋体" w:cs="宋体"/>
                <w:color w:val="auto"/>
                <w:szCs w:val="21"/>
                <w:highlight w:val="none"/>
              </w:rPr>
              <w:t>2、指向性：心型；</w:t>
            </w:r>
          </w:p>
          <w:p w14:paraId="062AB82C">
            <w:pPr>
              <w:rPr>
                <w:rFonts w:ascii="宋体" w:hAnsi="宋体" w:cs="宋体"/>
                <w:color w:val="auto"/>
                <w:szCs w:val="21"/>
                <w:highlight w:val="none"/>
              </w:rPr>
            </w:pPr>
            <w:r>
              <w:rPr>
                <w:rFonts w:hint="eastAsia" w:ascii="宋体" w:hAnsi="宋体" w:cs="宋体"/>
                <w:color w:val="auto"/>
                <w:szCs w:val="21"/>
                <w:highlight w:val="none"/>
              </w:rPr>
              <w:t>3、频响：≥50Hz~16kHz；</w:t>
            </w:r>
          </w:p>
          <w:p w14:paraId="69C8106A">
            <w:pPr>
              <w:rPr>
                <w:rFonts w:ascii="宋体" w:hAnsi="宋体" w:cs="宋体"/>
                <w:color w:val="auto"/>
                <w:szCs w:val="21"/>
                <w:highlight w:val="none"/>
              </w:rPr>
            </w:pPr>
            <w:r>
              <w:rPr>
                <w:rFonts w:hint="eastAsia" w:ascii="宋体" w:hAnsi="宋体" w:cs="宋体"/>
                <w:color w:val="auto"/>
                <w:szCs w:val="21"/>
                <w:highlight w:val="none"/>
              </w:rPr>
              <w:t>4、灵敏度：-47dB±3dB(0dB=1V/Pa@1kHz)；</w:t>
            </w:r>
          </w:p>
          <w:p w14:paraId="2571AF1C">
            <w:pPr>
              <w:rPr>
                <w:rFonts w:ascii="宋体" w:hAnsi="宋体" w:cs="宋体"/>
                <w:color w:val="auto"/>
                <w:szCs w:val="21"/>
                <w:highlight w:val="none"/>
              </w:rPr>
            </w:pPr>
            <w:r>
              <w:rPr>
                <w:rFonts w:hint="eastAsia" w:ascii="宋体" w:hAnsi="宋体" w:cs="宋体"/>
                <w:color w:val="auto"/>
                <w:szCs w:val="21"/>
                <w:highlight w:val="none"/>
              </w:rPr>
              <w:t>5、输出阻抗：≥2.2kΩ（@ 1kHz）；</w:t>
            </w:r>
          </w:p>
          <w:p w14:paraId="0B6D5B39">
            <w:pPr>
              <w:rPr>
                <w:rFonts w:ascii="宋体" w:hAnsi="宋体" w:cs="宋体"/>
                <w:color w:val="auto"/>
                <w:szCs w:val="21"/>
                <w:highlight w:val="none"/>
              </w:rPr>
            </w:pPr>
            <w:r>
              <w:rPr>
                <w:rFonts w:hint="eastAsia" w:ascii="宋体" w:hAnsi="宋体" w:cs="宋体"/>
                <w:color w:val="auto"/>
                <w:szCs w:val="21"/>
                <w:highlight w:val="none"/>
              </w:rPr>
              <w:t>6、最大声压级：≥135dB；</w:t>
            </w:r>
          </w:p>
          <w:p w14:paraId="3E78BD3F">
            <w:pPr>
              <w:rPr>
                <w:rFonts w:ascii="宋体" w:hAnsi="宋体" w:cs="宋体"/>
                <w:color w:val="auto"/>
                <w:szCs w:val="21"/>
                <w:highlight w:val="none"/>
              </w:rPr>
            </w:pPr>
            <w:r>
              <w:rPr>
                <w:rFonts w:hint="eastAsia" w:ascii="宋体" w:hAnsi="宋体" w:cs="宋体"/>
                <w:color w:val="auto"/>
                <w:szCs w:val="21"/>
                <w:highlight w:val="none"/>
              </w:rPr>
              <w:t>7、信噪比：≥75dB。</w:t>
            </w:r>
          </w:p>
        </w:tc>
      </w:tr>
      <w:tr w14:paraId="00BFA049">
        <w:tblPrEx>
          <w:tblCellMar>
            <w:top w:w="0" w:type="dxa"/>
            <w:left w:w="108" w:type="dxa"/>
            <w:bottom w:w="0" w:type="dxa"/>
            <w:right w:w="108" w:type="dxa"/>
          </w:tblCellMar>
        </w:tblPrEx>
        <w:trPr>
          <w:trHeight w:val="360" w:hRule="atLeast"/>
        </w:trPr>
        <w:tc>
          <w:tcPr>
            <w:tcW w:w="513" w:type="dxa"/>
            <w:tcBorders>
              <w:top w:val="single" w:color="000000" w:sz="4" w:space="0"/>
              <w:left w:val="single" w:color="000000" w:sz="4" w:space="0"/>
              <w:bottom w:val="single" w:color="000000" w:sz="4" w:space="0"/>
              <w:right w:val="single" w:color="000000" w:sz="4" w:space="0"/>
            </w:tcBorders>
            <w:vAlign w:val="center"/>
          </w:tcPr>
          <w:p w14:paraId="7DB194EF">
            <w:pPr>
              <w:rPr>
                <w:rFonts w:ascii="宋体" w:hAnsi="宋体" w:cs="宋体"/>
                <w:color w:val="auto"/>
                <w:szCs w:val="21"/>
                <w:highlight w:val="none"/>
                <w:lang w:bidi="ar"/>
              </w:rPr>
            </w:pPr>
            <w:r>
              <w:rPr>
                <w:rFonts w:hint="eastAsia" w:ascii="宋体" w:hAnsi="宋体" w:cs="宋体"/>
                <w:color w:val="auto"/>
                <w:szCs w:val="21"/>
                <w:highlight w:val="none"/>
                <w:lang w:bidi="ar"/>
              </w:rPr>
              <w:t>9</w:t>
            </w:r>
          </w:p>
        </w:tc>
        <w:tc>
          <w:tcPr>
            <w:tcW w:w="1618" w:type="dxa"/>
            <w:tcBorders>
              <w:top w:val="single" w:color="000000" w:sz="4" w:space="0"/>
              <w:left w:val="single" w:color="000000" w:sz="4" w:space="0"/>
              <w:bottom w:val="single" w:color="000000" w:sz="4" w:space="0"/>
              <w:right w:val="single" w:color="000000" w:sz="4" w:space="0"/>
            </w:tcBorders>
            <w:vAlign w:val="center"/>
          </w:tcPr>
          <w:p w14:paraId="7AB65B60">
            <w:pPr>
              <w:rPr>
                <w:rFonts w:ascii="宋体" w:hAnsi="宋体" w:cs="宋体"/>
                <w:color w:val="auto"/>
                <w:szCs w:val="21"/>
                <w:highlight w:val="none"/>
                <w:lang w:bidi="ar"/>
              </w:rPr>
            </w:pPr>
            <w:r>
              <w:rPr>
                <w:rFonts w:hint="eastAsia" w:ascii="宋体" w:hAnsi="宋体" w:cs="宋体"/>
                <w:color w:val="auto"/>
                <w:szCs w:val="21"/>
                <w:highlight w:val="none"/>
                <w:lang w:bidi="ar"/>
              </w:rPr>
              <w:t>48口交换机</w:t>
            </w:r>
          </w:p>
        </w:tc>
        <w:tc>
          <w:tcPr>
            <w:tcW w:w="7849" w:type="dxa"/>
            <w:tcBorders>
              <w:top w:val="single" w:color="000000" w:sz="4" w:space="0"/>
              <w:left w:val="single" w:color="000000" w:sz="4" w:space="0"/>
              <w:bottom w:val="single" w:color="000000" w:sz="4" w:space="0"/>
              <w:right w:val="single" w:color="000000" w:sz="4" w:space="0"/>
            </w:tcBorders>
            <w:vAlign w:val="center"/>
          </w:tcPr>
          <w:p w14:paraId="4900590C">
            <w:pPr>
              <w:rPr>
                <w:rFonts w:ascii="宋体" w:hAnsi="宋体" w:cs="宋体"/>
                <w:color w:val="auto"/>
                <w:szCs w:val="21"/>
                <w:highlight w:val="none"/>
              </w:rPr>
            </w:pPr>
            <w:r>
              <w:rPr>
                <w:rFonts w:hint="eastAsia" w:ascii="宋体" w:hAnsi="宋体" w:cs="宋体"/>
                <w:color w:val="auto"/>
                <w:szCs w:val="21"/>
                <w:highlight w:val="none"/>
              </w:rPr>
              <w:t>1、固化10M或100M或1000M自适应以太网端口≥48个，固化10G SFP+光接口≥4个；</w:t>
            </w:r>
          </w:p>
          <w:p w14:paraId="2D650B02">
            <w:pPr>
              <w:rPr>
                <w:rFonts w:ascii="宋体" w:hAnsi="宋体" w:cs="宋体"/>
                <w:color w:val="auto"/>
                <w:szCs w:val="21"/>
                <w:highlight w:val="none"/>
              </w:rPr>
            </w:pPr>
            <w:r>
              <w:rPr>
                <w:rFonts w:hint="eastAsia" w:ascii="宋体" w:hAnsi="宋体" w:cs="宋体"/>
                <w:color w:val="auto"/>
                <w:szCs w:val="21"/>
                <w:highlight w:val="none"/>
              </w:rPr>
              <w:t>2、交换容量≥430Gbps，包转发率≥140Mpps；</w:t>
            </w:r>
          </w:p>
          <w:p w14:paraId="186429EA">
            <w:pPr>
              <w:rPr>
                <w:rFonts w:ascii="宋体" w:hAnsi="宋体" w:cs="宋体"/>
                <w:color w:val="auto"/>
                <w:szCs w:val="21"/>
                <w:highlight w:val="none"/>
              </w:rPr>
            </w:pPr>
            <w:r>
              <w:rPr>
                <w:rFonts w:hint="eastAsia" w:ascii="宋体" w:hAnsi="宋体" w:cs="宋体"/>
                <w:color w:val="auto"/>
                <w:szCs w:val="21"/>
                <w:highlight w:val="none"/>
              </w:rPr>
              <w:t>3、支持防私接,支持SNMPv1、v2c、v3、CLI、Web网管、SSHv2.0等多样化的管理；</w:t>
            </w:r>
          </w:p>
          <w:p w14:paraId="55A8B5D9">
            <w:pPr>
              <w:rPr>
                <w:rFonts w:ascii="宋体" w:hAnsi="宋体" w:cs="宋体"/>
                <w:color w:val="auto"/>
                <w:szCs w:val="21"/>
                <w:highlight w:val="none"/>
              </w:rPr>
            </w:pPr>
            <w:r>
              <w:rPr>
                <w:rFonts w:hint="eastAsia" w:ascii="宋体" w:hAnsi="宋体" w:cs="宋体"/>
                <w:color w:val="auto"/>
                <w:szCs w:val="21"/>
                <w:highlight w:val="none"/>
              </w:rPr>
              <w:t>4、支持云端配置、监控、巡检运维；</w:t>
            </w:r>
          </w:p>
          <w:p w14:paraId="44551661">
            <w:pPr>
              <w:rPr>
                <w:rFonts w:ascii="宋体" w:hAnsi="宋体" w:cs="宋体"/>
                <w:color w:val="auto"/>
                <w:szCs w:val="21"/>
                <w:highlight w:val="none"/>
              </w:rPr>
            </w:pPr>
            <w:r>
              <w:rPr>
                <w:rFonts w:hint="eastAsia" w:ascii="宋体" w:hAnsi="宋体" w:cs="宋体"/>
                <w:color w:val="auto"/>
                <w:szCs w:val="21"/>
                <w:highlight w:val="none"/>
              </w:rPr>
              <w:t>5、设备MAC地址≥16K；</w:t>
            </w:r>
          </w:p>
          <w:p w14:paraId="0F486B32">
            <w:pPr>
              <w:rPr>
                <w:rFonts w:ascii="宋体" w:hAnsi="宋体" w:cs="宋体"/>
                <w:color w:val="auto"/>
                <w:szCs w:val="21"/>
                <w:highlight w:val="none"/>
              </w:rPr>
            </w:pPr>
            <w:r>
              <w:rPr>
                <w:rFonts w:hint="eastAsia" w:ascii="宋体" w:hAnsi="宋体" w:cs="宋体"/>
                <w:color w:val="auto"/>
                <w:szCs w:val="21"/>
                <w:highlight w:val="none"/>
              </w:rPr>
              <w:t>6、含配套万兆光纤模块；</w:t>
            </w:r>
          </w:p>
          <w:p w14:paraId="29F23252">
            <w:pPr>
              <w:rPr>
                <w:rFonts w:ascii="宋体" w:hAnsi="宋体" w:cs="宋体"/>
                <w:color w:val="auto"/>
                <w:szCs w:val="21"/>
                <w:highlight w:val="none"/>
              </w:rPr>
            </w:pPr>
            <w:r>
              <w:rPr>
                <w:rFonts w:hint="eastAsia" w:ascii="宋体" w:hAnsi="宋体" w:cs="宋体"/>
                <w:color w:val="auto"/>
                <w:szCs w:val="21"/>
                <w:highlight w:val="none"/>
              </w:rPr>
              <w:t>7、静音运行。</w:t>
            </w:r>
          </w:p>
        </w:tc>
      </w:tr>
      <w:tr w14:paraId="0750E362">
        <w:tblPrEx>
          <w:tblCellMar>
            <w:top w:w="0" w:type="dxa"/>
            <w:left w:w="108" w:type="dxa"/>
            <w:bottom w:w="0" w:type="dxa"/>
            <w:right w:w="108" w:type="dxa"/>
          </w:tblCellMar>
        </w:tblPrEx>
        <w:trPr>
          <w:trHeight w:val="360" w:hRule="atLeast"/>
        </w:trPr>
        <w:tc>
          <w:tcPr>
            <w:tcW w:w="513" w:type="dxa"/>
            <w:tcBorders>
              <w:top w:val="single" w:color="000000" w:sz="4" w:space="0"/>
              <w:left w:val="single" w:color="000000" w:sz="4" w:space="0"/>
              <w:bottom w:val="single" w:color="000000" w:sz="4" w:space="0"/>
              <w:right w:val="single" w:color="000000" w:sz="4" w:space="0"/>
            </w:tcBorders>
            <w:vAlign w:val="center"/>
          </w:tcPr>
          <w:p w14:paraId="18F2E64B">
            <w:pPr>
              <w:rPr>
                <w:rFonts w:ascii="宋体" w:hAnsi="宋体" w:cs="宋体"/>
                <w:color w:val="auto"/>
                <w:szCs w:val="21"/>
                <w:highlight w:val="none"/>
              </w:rPr>
            </w:pPr>
            <w:r>
              <w:rPr>
                <w:rFonts w:hint="eastAsia" w:ascii="宋体" w:hAnsi="宋体" w:cs="宋体"/>
                <w:color w:val="auto"/>
                <w:szCs w:val="21"/>
                <w:highlight w:val="none"/>
                <w:lang w:bidi="ar"/>
              </w:rPr>
              <w:t>10</w:t>
            </w:r>
          </w:p>
        </w:tc>
        <w:tc>
          <w:tcPr>
            <w:tcW w:w="1618" w:type="dxa"/>
            <w:tcBorders>
              <w:top w:val="single" w:color="000000" w:sz="4" w:space="0"/>
              <w:left w:val="single" w:color="000000" w:sz="4" w:space="0"/>
              <w:bottom w:val="single" w:color="000000" w:sz="4" w:space="0"/>
              <w:right w:val="single" w:color="000000" w:sz="4" w:space="0"/>
            </w:tcBorders>
            <w:vAlign w:val="center"/>
          </w:tcPr>
          <w:p w14:paraId="6AD59FFC">
            <w:pPr>
              <w:rPr>
                <w:rFonts w:ascii="宋体" w:hAnsi="宋体" w:cs="宋体"/>
                <w:color w:val="auto"/>
                <w:szCs w:val="21"/>
                <w:highlight w:val="none"/>
              </w:rPr>
            </w:pPr>
            <w:r>
              <w:rPr>
                <w:rFonts w:hint="eastAsia" w:ascii="宋体" w:hAnsi="宋体" w:cs="宋体"/>
                <w:color w:val="auto"/>
                <w:szCs w:val="21"/>
                <w:highlight w:val="none"/>
                <w:lang w:bidi="ar"/>
              </w:rPr>
              <w:t>学生桌椅</w:t>
            </w:r>
          </w:p>
        </w:tc>
        <w:tc>
          <w:tcPr>
            <w:tcW w:w="7849" w:type="dxa"/>
            <w:tcBorders>
              <w:top w:val="single" w:color="000000" w:sz="4" w:space="0"/>
              <w:left w:val="single" w:color="000000" w:sz="4" w:space="0"/>
              <w:bottom w:val="single" w:color="000000" w:sz="4" w:space="0"/>
              <w:right w:val="single" w:color="000000" w:sz="4" w:space="0"/>
            </w:tcBorders>
            <w:vAlign w:val="center"/>
          </w:tcPr>
          <w:p w14:paraId="441980AA">
            <w:pPr>
              <w:rPr>
                <w:rFonts w:ascii="宋体" w:hAnsi="宋体" w:cs="宋体"/>
                <w:color w:val="auto"/>
                <w:szCs w:val="21"/>
                <w:highlight w:val="none"/>
              </w:rPr>
            </w:pPr>
            <w:r>
              <w:rPr>
                <w:rFonts w:hint="eastAsia" w:ascii="宋体" w:hAnsi="宋体" w:cs="宋体"/>
                <w:color w:val="auto"/>
                <w:szCs w:val="21"/>
                <w:highlight w:val="none"/>
              </w:rPr>
              <w:t>一：学生桌</w:t>
            </w:r>
          </w:p>
          <w:p w14:paraId="2169E0B6">
            <w:pPr>
              <w:rPr>
                <w:rFonts w:ascii="宋体" w:hAnsi="宋体" w:cs="宋体"/>
                <w:color w:val="auto"/>
                <w:szCs w:val="21"/>
                <w:highlight w:val="none"/>
              </w:rPr>
            </w:pPr>
            <w:r>
              <w:rPr>
                <w:rFonts w:hint="eastAsia" w:ascii="宋体" w:hAnsi="宋体" w:cs="宋体"/>
                <w:color w:val="auto"/>
                <w:szCs w:val="21"/>
                <w:highlight w:val="none"/>
              </w:rPr>
              <w:t>学生桌：单人位长宽高≥800*600*750 mm，根据现场摆位情况定制1-3人位。</w:t>
            </w:r>
          </w:p>
          <w:p w14:paraId="75DE6F9E">
            <w:pPr>
              <w:rPr>
                <w:rFonts w:ascii="宋体" w:hAnsi="宋体" w:cs="宋体"/>
                <w:color w:val="auto"/>
                <w:szCs w:val="21"/>
                <w:highlight w:val="none"/>
              </w:rPr>
            </w:pPr>
            <w:r>
              <w:rPr>
                <w:rFonts w:hint="eastAsia" w:ascii="宋体" w:hAnsi="宋体" w:cs="宋体"/>
                <w:color w:val="auto"/>
                <w:szCs w:val="21"/>
                <w:highlight w:val="none"/>
              </w:rPr>
              <w:t>1、台面：厚度25mm，基材采用E1级中密度纤维板，双面贴防火面板制作，具有耐磨、抗划花及防火功能，边角圆弧处理；木板需符合国标检测，大肠杆菌AS 1.90抗菌率≧99.00%，金黄色葡萄球菌 AS 1.89抗菌率≧99.00%；（需提供具有CNAS或CMA标志的检测报告复印件）。</w:t>
            </w:r>
          </w:p>
          <w:p w14:paraId="716D07DE">
            <w:pPr>
              <w:rPr>
                <w:rFonts w:ascii="宋体" w:hAnsi="宋体" w:cs="宋体"/>
                <w:color w:val="auto"/>
                <w:szCs w:val="21"/>
                <w:highlight w:val="none"/>
              </w:rPr>
            </w:pPr>
            <w:r>
              <w:rPr>
                <w:rFonts w:hint="eastAsia" w:ascii="宋体" w:hAnsi="宋体" w:cs="宋体"/>
                <w:color w:val="auto"/>
                <w:szCs w:val="21"/>
                <w:highlight w:val="none"/>
              </w:rPr>
              <w:t>2、钢架：主承重钢架采用优质冷轧钢50*50方管，前档板为25*25方管及0.8mm厚冷轧钢板制作，书网架为12mm的冷轧钢圆管制作，经打磨、抛光表面平整光滑，经酸洗、磷化、除油锈、静电粉末喷涂，经高温烘烤漆面吸附力强，不易刮花、脱落，美观无味，无污染；所投产品通过针对冷轧钢架抗病毒活性试验的测试，检测依据和方法为ISO 21702：2019，针对实验病毒：人冠状病毒，宿主MRC-5细胞的抗病毒检验，分析检测结果，抗病毒活性值，≥0.6，抗病毒活性率≥76.4%；；（需提供具有CNAS或CMA标志的检测报告复印件）。</w:t>
            </w:r>
          </w:p>
          <w:p w14:paraId="7ED3B912">
            <w:pPr>
              <w:rPr>
                <w:rFonts w:ascii="宋体" w:hAnsi="宋体" w:cs="宋体"/>
                <w:color w:val="auto"/>
                <w:szCs w:val="21"/>
                <w:highlight w:val="none"/>
              </w:rPr>
            </w:pPr>
            <w:r>
              <w:rPr>
                <w:rFonts w:hint="eastAsia" w:ascii="宋体" w:hAnsi="宋体" w:cs="宋体"/>
                <w:color w:val="auto"/>
                <w:szCs w:val="21"/>
                <w:highlight w:val="none"/>
              </w:rPr>
              <w:t>3、电脑主机柜：每座位带一个电脑主机柜，带锁防盗，通风散热良好。</w:t>
            </w:r>
          </w:p>
          <w:p w14:paraId="1B6FD742">
            <w:pPr>
              <w:rPr>
                <w:rFonts w:ascii="宋体" w:hAnsi="宋体" w:cs="宋体"/>
                <w:color w:val="auto"/>
                <w:szCs w:val="21"/>
                <w:highlight w:val="none"/>
              </w:rPr>
            </w:pPr>
            <w:r>
              <w:rPr>
                <w:rFonts w:hint="eastAsia" w:ascii="宋体" w:hAnsi="宋体" w:cs="宋体"/>
                <w:color w:val="auto"/>
                <w:szCs w:val="21"/>
                <w:highlight w:val="none"/>
              </w:rPr>
              <w:t>4、所投产品通过产品防霉认证（需提供认证证书复印件）。</w:t>
            </w:r>
          </w:p>
          <w:p w14:paraId="2CA1D239">
            <w:pPr>
              <w:rPr>
                <w:rFonts w:ascii="宋体" w:hAnsi="宋体" w:cs="宋体"/>
                <w:color w:val="auto"/>
                <w:szCs w:val="21"/>
                <w:highlight w:val="none"/>
              </w:rPr>
            </w:pPr>
            <w:r>
              <w:rPr>
                <w:rFonts w:hint="eastAsia" w:ascii="宋体" w:hAnsi="宋体" w:cs="宋体"/>
                <w:color w:val="auto"/>
                <w:szCs w:val="21"/>
                <w:highlight w:val="none"/>
              </w:rPr>
              <w:t>二：学生椅</w:t>
            </w:r>
          </w:p>
          <w:p w14:paraId="570AA6FA">
            <w:pPr>
              <w:rPr>
                <w:rFonts w:ascii="宋体" w:hAnsi="宋体" w:cs="宋体"/>
                <w:color w:val="auto"/>
                <w:szCs w:val="21"/>
                <w:highlight w:val="none"/>
              </w:rPr>
            </w:pPr>
            <w:r>
              <w:rPr>
                <w:rFonts w:hint="eastAsia" w:ascii="宋体" w:hAnsi="宋体" w:cs="宋体"/>
                <w:color w:val="FF0000"/>
                <w:szCs w:val="21"/>
                <w:highlight w:val="none"/>
              </w:rPr>
              <w:t>1、</w:t>
            </w:r>
            <w:r>
              <w:rPr>
                <w:rFonts w:hint="eastAsia" w:ascii="宋体" w:hAnsi="宋体" w:cs="宋体"/>
                <w:color w:val="auto"/>
                <w:szCs w:val="21"/>
                <w:highlight w:val="none"/>
              </w:rPr>
              <w:t xml:space="preserve"> 原材料采用全新PP塑料+15%波纤全新料一体成型外框，厚度不低于6MM，椅背下部设计圆弧型的透气孔，设计约40MM宽把手，方便移动；椅背上部设计独立一体成型的挂钩，挂钩采用PP注塑而成，考虑安全性四周圆弧设计，可提供挂包用途，挂钩尺寸：约44*15MM（长宽）；椅背尺寸：约412*375（宽高）MM，座垫尺寸：约450*432MM（宽深）；颜色可根据教室环境订制</w:t>
            </w:r>
          </w:p>
          <w:p w14:paraId="4EB4AF98">
            <w:pPr>
              <w:rPr>
                <w:rFonts w:ascii="宋体" w:hAnsi="宋体" w:cs="宋体"/>
                <w:color w:val="auto"/>
                <w:szCs w:val="21"/>
                <w:highlight w:val="none"/>
              </w:rPr>
            </w:pPr>
            <w:r>
              <w:rPr>
                <w:rFonts w:hint="eastAsia" w:ascii="宋体" w:hAnsi="宋体" w:cs="宋体"/>
                <w:color w:val="auto"/>
                <w:szCs w:val="21"/>
                <w:highlight w:val="none"/>
              </w:rPr>
              <w:t>2、椅架：采用Φ12mm实心钢筋，经模具弯曲处理成型，风格简约，表面喷涂处理，椅脚配有防滑脚垫。</w:t>
            </w:r>
          </w:p>
          <w:p w14:paraId="09C5D2C2">
            <w:pPr>
              <w:rPr>
                <w:rFonts w:ascii="宋体" w:hAnsi="宋体" w:cs="宋体"/>
                <w:color w:val="auto"/>
                <w:szCs w:val="21"/>
                <w:highlight w:val="none"/>
              </w:rPr>
            </w:pPr>
            <w:r>
              <w:rPr>
                <w:rFonts w:hint="eastAsia" w:ascii="宋体" w:hAnsi="宋体" w:cs="宋体"/>
                <w:color w:val="auto"/>
                <w:szCs w:val="21"/>
                <w:highlight w:val="none"/>
              </w:rPr>
              <w:t xml:space="preserve">3、尺寸（深*宽*高）：≥50*50*82CM                                                                                                                                                                    </w:t>
            </w:r>
            <w:r>
              <w:rPr>
                <w:rFonts w:hint="eastAsia" w:ascii="宋体" w:hAnsi="宋体" w:cs="宋体"/>
                <w:color w:val="FF0000"/>
                <w:szCs w:val="21"/>
                <w:highlight w:val="none"/>
              </w:rPr>
              <w:t>4、</w:t>
            </w:r>
            <w:r>
              <w:rPr>
                <w:rFonts w:hint="eastAsia" w:ascii="宋体" w:hAnsi="宋体" w:cs="宋体"/>
                <w:color w:val="auto"/>
                <w:szCs w:val="21"/>
                <w:highlight w:val="none"/>
              </w:rPr>
              <w:t>所投椅子的塑料材料通过GB/T 24128-2018《塑料 塑料防霉剂的防霉效果评估》的检测，检测</w:t>
            </w:r>
            <w:bookmarkStart w:id="0" w:name="_GoBack"/>
            <w:bookmarkEnd w:id="0"/>
            <w:r>
              <w:rPr>
                <w:rFonts w:hint="eastAsia" w:ascii="宋体" w:hAnsi="宋体" w:cs="宋体"/>
                <w:color w:val="auto"/>
                <w:szCs w:val="21"/>
                <w:highlight w:val="none"/>
              </w:rPr>
              <w:t>内容包含但不限于黑曲霉、土曲霉、球毛壳霉、宛氏拟青霉、出芽短梗霉、长枝木霉等，检测结果均无检出，要求达到O级；提供具有CNAS或CMA标识的检测报告复印件并加盖</w:t>
            </w: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rPr>
              <w:t>公章。</w:t>
            </w:r>
          </w:p>
        </w:tc>
      </w:tr>
      <w:tr w14:paraId="082598E6">
        <w:tblPrEx>
          <w:tblCellMar>
            <w:top w:w="0" w:type="dxa"/>
            <w:left w:w="108" w:type="dxa"/>
            <w:bottom w:w="0" w:type="dxa"/>
            <w:right w:w="108" w:type="dxa"/>
          </w:tblCellMar>
        </w:tblPrEx>
        <w:trPr>
          <w:trHeight w:val="360" w:hRule="atLeast"/>
        </w:trPr>
        <w:tc>
          <w:tcPr>
            <w:tcW w:w="513" w:type="dxa"/>
            <w:tcBorders>
              <w:top w:val="single" w:color="000000" w:sz="4" w:space="0"/>
              <w:left w:val="single" w:color="000000" w:sz="4" w:space="0"/>
              <w:bottom w:val="single" w:color="000000" w:sz="4" w:space="0"/>
              <w:right w:val="single" w:color="000000" w:sz="4" w:space="0"/>
            </w:tcBorders>
            <w:vAlign w:val="center"/>
          </w:tcPr>
          <w:p w14:paraId="0721894B">
            <w:pPr>
              <w:rPr>
                <w:rFonts w:ascii="宋体" w:hAnsi="宋体" w:cs="宋体"/>
                <w:color w:val="auto"/>
                <w:szCs w:val="21"/>
                <w:highlight w:val="none"/>
              </w:rPr>
            </w:pPr>
          </w:p>
        </w:tc>
        <w:tc>
          <w:tcPr>
            <w:tcW w:w="1618" w:type="dxa"/>
            <w:tcBorders>
              <w:top w:val="single" w:color="000000" w:sz="4" w:space="0"/>
              <w:left w:val="single" w:color="000000" w:sz="4" w:space="0"/>
              <w:bottom w:val="single" w:color="000000" w:sz="4" w:space="0"/>
              <w:right w:val="single" w:color="000000" w:sz="4" w:space="0"/>
            </w:tcBorders>
            <w:vAlign w:val="center"/>
          </w:tcPr>
          <w:p w14:paraId="57AAF876">
            <w:pPr>
              <w:rPr>
                <w:rFonts w:ascii="宋体" w:hAnsi="宋体" w:cs="宋体"/>
                <w:color w:val="auto"/>
                <w:szCs w:val="21"/>
                <w:highlight w:val="none"/>
              </w:rPr>
            </w:pPr>
          </w:p>
        </w:tc>
        <w:tc>
          <w:tcPr>
            <w:tcW w:w="7849" w:type="dxa"/>
            <w:tcBorders>
              <w:top w:val="single" w:color="000000" w:sz="4" w:space="0"/>
              <w:left w:val="single" w:color="000000" w:sz="4" w:space="0"/>
              <w:bottom w:val="single" w:color="000000" w:sz="4" w:space="0"/>
              <w:right w:val="single" w:color="000000" w:sz="4" w:space="0"/>
            </w:tcBorders>
            <w:vAlign w:val="center"/>
          </w:tcPr>
          <w:p w14:paraId="6F7C39F1">
            <w:pPr>
              <w:rPr>
                <w:rFonts w:ascii="宋体" w:hAnsi="宋体" w:cs="宋体"/>
                <w:color w:val="auto"/>
                <w:szCs w:val="21"/>
                <w:highlight w:val="none"/>
              </w:rPr>
            </w:pPr>
          </w:p>
        </w:tc>
      </w:tr>
    </w:tbl>
    <w:p w14:paraId="49B0F2EB"/>
    <w:p w14:paraId="0BEC65FB"/>
    <w:p w14:paraId="2635E3F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187C50"/>
    <w:rsid w:val="01FF3BC3"/>
    <w:rsid w:val="02532161"/>
    <w:rsid w:val="038A570F"/>
    <w:rsid w:val="0397607D"/>
    <w:rsid w:val="04390C0B"/>
    <w:rsid w:val="04E3586E"/>
    <w:rsid w:val="05DB4835"/>
    <w:rsid w:val="05E03D0C"/>
    <w:rsid w:val="06007F0A"/>
    <w:rsid w:val="08836BD0"/>
    <w:rsid w:val="0EC52649"/>
    <w:rsid w:val="117479FE"/>
    <w:rsid w:val="136F698A"/>
    <w:rsid w:val="15EF6BCF"/>
    <w:rsid w:val="16C805D0"/>
    <w:rsid w:val="18187C50"/>
    <w:rsid w:val="1CDA417F"/>
    <w:rsid w:val="20F15CB5"/>
    <w:rsid w:val="24287A13"/>
    <w:rsid w:val="245711E5"/>
    <w:rsid w:val="24AA3DEA"/>
    <w:rsid w:val="34AE28B3"/>
    <w:rsid w:val="3A6D30B9"/>
    <w:rsid w:val="3D8250CD"/>
    <w:rsid w:val="3FE756BB"/>
    <w:rsid w:val="40464190"/>
    <w:rsid w:val="40BF7441"/>
    <w:rsid w:val="42FB5880"/>
    <w:rsid w:val="435927F9"/>
    <w:rsid w:val="4407632C"/>
    <w:rsid w:val="442C18EF"/>
    <w:rsid w:val="475B2C31"/>
    <w:rsid w:val="484F2103"/>
    <w:rsid w:val="49AD11AF"/>
    <w:rsid w:val="4B49547C"/>
    <w:rsid w:val="4D481225"/>
    <w:rsid w:val="4D52234C"/>
    <w:rsid w:val="50610B72"/>
    <w:rsid w:val="51962A9D"/>
    <w:rsid w:val="53F25F72"/>
    <w:rsid w:val="56051FA0"/>
    <w:rsid w:val="56885586"/>
    <w:rsid w:val="56F3629C"/>
    <w:rsid w:val="5A762D88"/>
    <w:rsid w:val="5B677D42"/>
    <w:rsid w:val="5E2778DC"/>
    <w:rsid w:val="5F723942"/>
    <w:rsid w:val="62EE098B"/>
    <w:rsid w:val="636D2BD5"/>
    <w:rsid w:val="67C57BF7"/>
    <w:rsid w:val="6AF26B3F"/>
    <w:rsid w:val="71755DD4"/>
    <w:rsid w:val="72BA6194"/>
    <w:rsid w:val="73332E43"/>
    <w:rsid w:val="77A574EC"/>
    <w:rsid w:val="78D072B7"/>
    <w:rsid w:val="79926BB1"/>
    <w:rsid w:val="799C2A97"/>
    <w:rsid w:val="7AFE32DE"/>
    <w:rsid w:val="7FC41F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6625</Words>
  <Characters>7397</Characters>
  <Lines>0</Lines>
  <Paragraphs>0</Paragraphs>
  <TotalTime>1</TotalTime>
  <ScaleCrop>false</ScaleCrop>
  <LinksUpToDate>false</LinksUpToDate>
  <CharactersWithSpaces>7631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2026-03-20T07:07:00Z</dcterms:created>
  <dc:creator>陈济民</dc:creator>
  <cp:lastModifiedBy>张帅磊</cp:lastModifiedBy>
  <dcterms:modified xsi:type="dcterms:W3CDTF">2026-04-03T06:54:35Z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C1AC8068BFB24CC49DF7C72E1C189704_13</vt:lpwstr>
  </property>
  <property fmtid="{D5CDD505-2E9C-101B-9397-08002B2CF9AE}" pid="4" name="KSOTemplateDocerSaveRecord">
    <vt:lpwstr>eyJoZGlkIjoiNGZlOTE3NmU2NzYzNTkyZTM0ZGY1NTZkYTk3ZTdkYmIiLCJ1c2VySWQiOiIxNzg0MDE3NjYyIn0=</vt:lpwstr>
  </property>
</Properties>
</file>