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5" Type="http://schemas.openxmlformats.org/officeDocument/2006/relationships/officeDocument" Target="word/document.xml"/><Relationship Id="rId1" Type="http://schemas.openxmlformats.org/package/2006/relationships/metadata/thumbnail" Target="docProps/thumbnail.wmf"/><Relationship Id="rId3" Type="http://schemas.openxmlformats.org/package/2006/relationships/metadata/core-properties" Target="docProps/core.xml"/><Relationship Id="rId2"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047C325">
      <w:pPr>
        <w:adjustRightInd w:val="0"/>
        <w:snapToGrid w:val="0"/>
        <w:spacing w:line="640" w:lineRule="exact"/>
        <w:jc w:val="center"/>
        <w:rPr>
          <w:rFonts w:ascii="方正小标宋简体" w:hAnsi="方正小标宋简体" w:eastAsia="方正小标宋简体" w:cs="方正小标宋简体"/>
          <w:sz w:val="44"/>
          <w:szCs w:val="44"/>
          <w:lang w:val="zh-CN"/>
        </w:rPr>
      </w:pPr>
      <w:r>
        <w:rPr>
          <w:rFonts w:hint="eastAsia" w:ascii="方正小标宋简体" w:hAnsi="方正小标宋简体" w:eastAsia="方正小标宋简体" w:cs="方正小标宋简体"/>
          <w:sz w:val="44"/>
          <w:szCs w:val="44"/>
          <w:lang w:val="zh-CN"/>
        </w:rPr>
        <w:t>商务要求</w:t>
      </w:r>
    </w:p>
    <w:p w14:paraId="2B32A25B">
      <w:pPr>
        <w:pStyle w:val="2"/>
      </w:pPr>
    </w:p>
    <w:p w14:paraId="4D686AAF">
      <w:pPr>
        <w:pStyle w:val="13"/>
        <w:kinsoku w:val="0"/>
        <w:overflowPunct w:val="0"/>
        <w:autoSpaceDE w:val="0"/>
        <w:autoSpaceDN w:val="0"/>
        <w:spacing w:line="288" w:lineRule="auto"/>
        <w:ind w:firstLine="0" w:firstLineChars="0"/>
        <w:outlineLvl w:val="0"/>
        <w:rPr>
          <w:rFonts w:ascii="黑体" w:hAnsi="黑体" w:eastAsia="黑体" w:cs="黑体"/>
          <w:bCs/>
          <w:sz w:val="32"/>
          <w:szCs w:val="32"/>
          <w:lang w:val="zh-CN"/>
        </w:rPr>
      </w:pPr>
      <w:r>
        <w:rPr>
          <w:rFonts w:hint="eastAsia" w:ascii="黑体" w:hAnsi="黑体" w:eastAsia="黑体" w:cs="黑体"/>
          <w:bCs/>
          <w:sz w:val="32"/>
          <w:szCs w:val="32"/>
        </w:rPr>
        <w:t>一、</w:t>
      </w:r>
      <w:r>
        <w:rPr>
          <w:rFonts w:hint="eastAsia" w:ascii="黑体" w:hAnsi="黑体" w:eastAsia="黑体" w:cs="黑体"/>
          <w:bCs/>
          <w:sz w:val="32"/>
          <w:szCs w:val="32"/>
          <w:lang w:val="zh-CN"/>
        </w:rPr>
        <w:t>技术服务</w:t>
      </w:r>
    </w:p>
    <w:p w14:paraId="556A83F4">
      <w:pPr>
        <w:adjustRightInd w:val="0"/>
        <w:snapToGrid w:val="0"/>
        <w:spacing w:line="560" w:lineRule="exact"/>
        <w:ind w:firstLine="420" w:firstLineChars="200"/>
        <w:rPr>
          <w:rFonts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t>1.设备安装、调试和验收（在合同签订后执行）</w:t>
      </w:r>
    </w:p>
    <w:p w14:paraId="1F7F375C">
      <w:pPr>
        <w:adjustRightInd w:val="0"/>
        <w:snapToGrid w:val="0"/>
        <w:spacing w:line="560" w:lineRule="exact"/>
        <w:ind w:firstLine="420" w:firstLineChars="200"/>
        <w:rPr>
          <w:rFonts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t>1.1中标人应在合同生效后的15天内向采购人提供详细的安装要求及安装计划，并提供技术咨询。设备安装、调试的费用由中标人承担。</w:t>
      </w:r>
    </w:p>
    <w:p w14:paraId="61376515">
      <w:pPr>
        <w:adjustRightInd w:val="0"/>
        <w:snapToGrid w:val="0"/>
        <w:spacing w:line="560" w:lineRule="exact"/>
        <w:ind w:firstLine="420" w:firstLineChars="200"/>
        <w:rPr>
          <w:rFonts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t>1.2中标人提供仪器易损、易耗备件清单，随机一起交付；仪器到达采购人指定地点，在接到采购人通知后一周内进行安装调试及精度检测。逾期供货或安装、调试，都需对用户进行赔偿补偿，具体赔偿金额由双方协商解决。</w:t>
      </w:r>
    </w:p>
    <w:p w14:paraId="4D454899">
      <w:pPr>
        <w:adjustRightInd w:val="0"/>
        <w:snapToGrid w:val="0"/>
        <w:spacing w:line="560" w:lineRule="exact"/>
        <w:ind w:firstLine="420" w:firstLineChars="200"/>
        <w:rPr>
          <w:rFonts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t>1.3如果由于仪器本身原因而在3个月内调试没有通过，可返厂维修，或更换一套全新的相同型号配置仪器。</w:t>
      </w:r>
    </w:p>
    <w:p w14:paraId="1D84E292">
      <w:pPr>
        <w:adjustRightInd w:val="0"/>
        <w:snapToGrid w:val="0"/>
        <w:spacing w:line="560" w:lineRule="exact"/>
        <w:ind w:firstLine="420" w:firstLineChars="200"/>
        <w:rPr>
          <w:rFonts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t>1.4返厂维修周期不得超过1个月，次数不得超过2次，否则必须更换一套全新的相同型号配置或符合技术性能要求的仪器设备。采购人认定的特殊仪器设备可延长调试时间。</w:t>
      </w:r>
    </w:p>
    <w:p w14:paraId="5E6D43C7">
      <w:pPr>
        <w:adjustRightInd w:val="0"/>
        <w:snapToGrid w:val="0"/>
        <w:spacing w:line="560" w:lineRule="exact"/>
        <w:ind w:firstLine="420" w:firstLineChars="200"/>
        <w:rPr>
          <w:rFonts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t>1.5乙方交付的货物未通过甲方验收的，甲方有权解除本合同，乙方应当自合同解除之日起【15】日内自行将已交付货物取回，逾期取回的，货物毁损灭失风险由乙方自行承担，并按照合同总金额的万分之【十】/天向甲方支付场地占用费；同时乙方应全额退还甲方已支付的款项，并自甲方支付之日起至乙方退还之日止，按照本合同签订之日的贷款市场报价利率（LPR）的【2】倍赔偿甲方资金占用损失。（此条如与合同文本有歧义冲突的，以本条为准。）</w:t>
      </w:r>
    </w:p>
    <w:p w14:paraId="6851700D">
      <w:pPr>
        <w:adjustRightInd w:val="0"/>
        <w:snapToGrid w:val="0"/>
        <w:spacing w:line="560" w:lineRule="exact"/>
        <w:ind w:firstLine="420" w:firstLineChars="200"/>
        <w:rPr>
          <w:rFonts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t>1.6</w:t>
      </w:r>
      <w:r>
        <w:rPr>
          <w:rFonts w:ascii="方正仿宋_GB2312" w:hAnsi="方正仿宋_GB2312" w:eastAsia="方正仿宋_GB2312" w:cs="方正仿宋_GB2312"/>
          <w:szCs w:val="21"/>
        </w:rPr>
        <w:t>甲方解除本合同的，乙方须全额退还甲方已支付的款项，并自甲方支付之日起至乙方退还之日止，按照本合同签订之日的贷款市场报价利率（LPR）的【2】倍赔偿甲方资金占用损失。（此条如与合同文本有歧义冲突的，以本条为准。）</w:t>
      </w:r>
    </w:p>
    <w:p w14:paraId="4C54BCE0">
      <w:pPr>
        <w:adjustRightInd w:val="0"/>
        <w:snapToGrid w:val="0"/>
        <w:spacing w:line="560" w:lineRule="exact"/>
        <w:ind w:firstLine="420" w:firstLineChars="200"/>
        <w:rPr>
          <w:rFonts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t>2.技术培训</w:t>
      </w:r>
    </w:p>
    <w:p w14:paraId="432427A7">
      <w:pPr>
        <w:adjustRightInd w:val="0"/>
        <w:snapToGrid w:val="0"/>
        <w:spacing w:line="560" w:lineRule="exact"/>
        <w:ind w:firstLine="420" w:firstLineChars="200"/>
        <w:rPr>
          <w:rFonts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t>2.1设备安装调试完成后，中标人应对采购人用户技术人员进行调试、操作、仪器维护、故障排除等方面的免费现场培训。</w:t>
      </w:r>
    </w:p>
    <w:p w14:paraId="7F781BEC">
      <w:pPr>
        <w:adjustRightInd w:val="0"/>
        <w:snapToGrid w:val="0"/>
        <w:spacing w:line="560" w:lineRule="exact"/>
        <w:ind w:firstLine="420" w:firstLineChars="200"/>
        <w:rPr>
          <w:rFonts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t>2.2初级培训：仪器安装调试完，验收前，中标人工程师在现场就仪器的维护、基本操作、日常保养、潜在故障分析等各方面提供2人以上免费初步培训，培训周期不少于5天。</w:t>
      </w:r>
    </w:p>
    <w:p w14:paraId="24F6D6E5">
      <w:pPr>
        <w:adjustRightInd w:val="0"/>
        <w:snapToGrid w:val="0"/>
        <w:spacing w:line="560" w:lineRule="exact"/>
        <w:ind w:firstLine="420" w:firstLineChars="200"/>
        <w:rPr>
          <w:rFonts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t>2.3应用培训：在初级培训结束后，待采购人使用一段时间，中标人派遣专门的应用工程师到客户现场进行高级应用培训。2人以上免费培训时间不少于5天，具体培训内容与日期由双方协商确定。</w:t>
      </w:r>
    </w:p>
    <w:p w14:paraId="66A0BF5F">
      <w:pPr>
        <w:adjustRightInd w:val="0"/>
        <w:snapToGrid w:val="0"/>
        <w:spacing w:line="560" w:lineRule="exact"/>
        <w:ind w:firstLine="420" w:firstLineChars="200"/>
        <w:rPr>
          <w:rFonts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t>3.保修期</w:t>
      </w:r>
    </w:p>
    <w:p w14:paraId="15311619">
      <w:pPr>
        <w:adjustRightInd w:val="0"/>
        <w:snapToGrid w:val="0"/>
        <w:spacing w:line="560" w:lineRule="exact"/>
        <w:ind w:firstLine="420" w:firstLineChars="200"/>
        <w:rPr>
          <w:rFonts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t>3.1提供不低于5年的整机免费保修，保修期从采购人组织验收且验收合格之日起计算。保修范围包括仪器所有硬件、维护包包含的全套附件等；保修期内，免费提供所需耗材和用品，同时如果任何零配件损坏，中标人免费更换和安装一个设备原厂的相关配件；对于同一部位出现2次以上故障，中标人应当免费更换该部件。保修期间维修及零件更换费用、人工及差旅费等费用全部由中标人负担（人为损坏除外）。</w:t>
      </w:r>
    </w:p>
    <w:p w14:paraId="373A21C2">
      <w:pPr>
        <w:adjustRightInd w:val="0"/>
        <w:snapToGrid w:val="0"/>
        <w:spacing w:line="560" w:lineRule="exact"/>
        <w:ind w:firstLine="420" w:firstLineChars="200"/>
        <w:rPr>
          <w:rFonts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t>3.2在保修期内，如货品非因采购人的人为原因而出现的问题由中标人负责保修，并承担修理的实际费用。在保修期内，如设备或零部件因非人为因素出现故障而造成短期停用的，经双方确认后，保修期相应顺延，顺延期限由双方协商确定。</w:t>
      </w:r>
    </w:p>
    <w:p w14:paraId="52899E88">
      <w:pPr>
        <w:adjustRightInd w:val="0"/>
        <w:snapToGrid w:val="0"/>
        <w:spacing w:line="560" w:lineRule="exact"/>
        <w:ind w:firstLine="420" w:firstLineChars="200"/>
        <w:rPr>
          <w:rFonts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t>4.中标人提供终身维修服务</w:t>
      </w:r>
    </w:p>
    <w:p w14:paraId="0402704E">
      <w:pPr>
        <w:adjustRightInd w:val="0"/>
        <w:snapToGrid w:val="0"/>
        <w:spacing w:line="560" w:lineRule="exact"/>
        <w:ind w:firstLine="420" w:firstLineChars="200"/>
        <w:rPr>
          <w:rFonts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t>4.1保证不低于十五年的零配件供应。若制造商厂家决定停止生产某种备品备件，中标人应提前6个月通知采购人，以便采购人购买足够的备品备件。在质保期内，厂商技术工程师每年进行至少两次现场免费检修，以保证采购人设备的正常运行。</w:t>
      </w:r>
    </w:p>
    <w:p w14:paraId="757D7AA9">
      <w:pPr>
        <w:adjustRightInd w:val="0"/>
        <w:snapToGrid w:val="0"/>
        <w:spacing w:line="560" w:lineRule="exact"/>
        <w:ind w:firstLine="420" w:firstLineChars="200"/>
        <w:rPr>
          <w:rFonts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t>4.2过保修期后配件、耗材按不高于市场价的7折提供。</w:t>
      </w:r>
    </w:p>
    <w:p w14:paraId="3AD86903">
      <w:pPr>
        <w:adjustRightInd w:val="0"/>
        <w:snapToGrid w:val="0"/>
        <w:spacing w:line="560" w:lineRule="exact"/>
        <w:ind w:firstLine="420" w:firstLineChars="200"/>
        <w:rPr>
          <w:rFonts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t>5.维修响应时间</w:t>
      </w:r>
    </w:p>
    <w:p w14:paraId="7918EA16">
      <w:pPr>
        <w:adjustRightInd w:val="0"/>
        <w:snapToGrid w:val="0"/>
        <w:spacing w:line="560" w:lineRule="exact"/>
        <w:ind w:firstLine="420" w:firstLineChars="200"/>
        <w:rPr>
          <w:rFonts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t>5.1中标人应在24小时内对采购人的服务要求做出响应，2天内到达仪器现场（节假日除外），维修服务包括远程指导和现场维修。如仪器发生重大问题或其他无法立刻解决的问题应在一周内解决或提出明确解决方案，如因中标人原因不能及时修复，保修期将相应顺延。</w:t>
      </w:r>
    </w:p>
    <w:p w14:paraId="0E20B59E">
      <w:pPr>
        <w:adjustRightInd w:val="0"/>
        <w:snapToGrid w:val="0"/>
        <w:spacing w:line="560" w:lineRule="exact"/>
        <w:ind w:firstLine="420" w:firstLineChars="200"/>
        <w:rPr>
          <w:rFonts w:ascii="方正仿宋_GB2312" w:hAnsi="方正仿宋_GB2312" w:eastAsia="方正仿宋_GB2312" w:cs="方正仿宋_GB2312"/>
          <w:szCs w:val="21"/>
        </w:rPr>
      </w:pPr>
      <w:r>
        <w:rPr>
          <w:rFonts w:ascii="方正仿宋_GB2312" w:hAnsi="方正仿宋_GB2312" w:eastAsia="方正仿宋_GB2312" w:cs="方正仿宋_GB2312"/>
          <w:szCs w:val="21"/>
        </w:rPr>
        <w:t>6</w:t>
      </w:r>
      <w:r>
        <w:rPr>
          <w:rFonts w:hint="eastAsia" w:ascii="方正仿宋_GB2312" w:hAnsi="方正仿宋_GB2312" w:eastAsia="方正仿宋_GB2312" w:cs="方正仿宋_GB2312"/>
          <w:szCs w:val="21"/>
        </w:rPr>
        <w:t>.软件升级</w:t>
      </w:r>
    </w:p>
    <w:p w14:paraId="62160D43">
      <w:pPr>
        <w:adjustRightInd w:val="0"/>
        <w:snapToGrid w:val="0"/>
        <w:spacing w:line="560" w:lineRule="exact"/>
        <w:ind w:firstLine="420" w:firstLineChars="200"/>
        <w:rPr>
          <w:rFonts w:ascii="方正仿宋_GB2312" w:hAnsi="方正仿宋_GB2312" w:eastAsia="方正仿宋_GB2312" w:cs="方正仿宋_GB2312"/>
          <w:szCs w:val="21"/>
        </w:rPr>
      </w:pPr>
      <w:r>
        <w:rPr>
          <w:rFonts w:ascii="方正仿宋_GB2312" w:hAnsi="方正仿宋_GB2312" w:eastAsia="方正仿宋_GB2312" w:cs="方正仿宋_GB2312"/>
          <w:szCs w:val="21"/>
        </w:rPr>
        <w:t>6</w:t>
      </w:r>
      <w:r>
        <w:rPr>
          <w:rFonts w:hint="eastAsia" w:ascii="方正仿宋_GB2312" w:hAnsi="方正仿宋_GB2312" w:eastAsia="方正仿宋_GB2312" w:cs="方正仿宋_GB2312"/>
          <w:szCs w:val="21"/>
        </w:rPr>
        <w:t>.1在硬件支持的前提下，终身免费为采购人用户提供软件升级服务。</w:t>
      </w:r>
    </w:p>
    <w:p w14:paraId="426894DE">
      <w:pPr>
        <w:adjustRightInd w:val="0"/>
        <w:snapToGrid w:val="0"/>
        <w:spacing w:line="560" w:lineRule="exact"/>
        <w:ind w:firstLine="420" w:firstLineChars="200"/>
        <w:rPr>
          <w:rFonts w:ascii="方正仿宋_GB2312" w:hAnsi="方正仿宋_GB2312" w:eastAsia="方正仿宋_GB2312" w:cs="方正仿宋_GB2312"/>
          <w:szCs w:val="21"/>
        </w:rPr>
      </w:pPr>
      <w:r>
        <w:rPr>
          <w:rFonts w:ascii="方正仿宋_GB2312" w:hAnsi="方正仿宋_GB2312" w:eastAsia="方正仿宋_GB2312" w:cs="方正仿宋_GB2312"/>
          <w:szCs w:val="21"/>
        </w:rPr>
        <w:t>7</w:t>
      </w:r>
      <w:r>
        <w:rPr>
          <w:rFonts w:hint="eastAsia" w:ascii="方正仿宋_GB2312" w:hAnsi="方正仿宋_GB2312" w:eastAsia="方正仿宋_GB2312" w:cs="方正仿宋_GB2312"/>
          <w:szCs w:val="21"/>
        </w:rPr>
        <w:t>.提供设备装配总图、部件装配图、中文操作使用手册、中文维护手册、相关的软件备份、电气原理图、接线图等全套图纸资料随机一同交付，提供完整的产品出厂验收说明书。</w:t>
      </w:r>
    </w:p>
    <w:p w14:paraId="2E46ECC5">
      <w:pPr>
        <w:adjustRightInd w:val="0"/>
        <w:snapToGrid w:val="0"/>
        <w:spacing w:line="560" w:lineRule="exact"/>
        <w:ind w:firstLine="420" w:firstLineChars="200"/>
        <w:rPr>
          <w:rFonts w:ascii="方正仿宋_GB2312" w:hAnsi="方正仿宋_GB2312" w:eastAsia="方正仿宋_GB2312" w:cs="方正仿宋_GB2312"/>
          <w:szCs w:val="21"/>
        </w:rPr>
      </w:pPr>
      <w:r>
        <w:rPr>
          <w:rFonts w:ascii="方正仿宋_GB2312" w:hAnsi="方正仿宋_GB2312" w:eastAsia="方正仿宋_GB2312" w:cs="方正仿宋_GB2312"/>
          <w:szCs w:val="21"/>
        </w:rPr>
        <w:t>8</w:t>
      </w:r>
      <w:r>
        <w:rPr>
          <w:rFonts w:hint="eastAsia" w:ascii="方正仿宋_GB2312" w:hAnsi="方正仿宋_GB2312" w:eastAsia="方正仿宋_GB2312" w:cs="方正仿宋_GB2312"/>
          <w:szCs w:val="21"/>
        </w:rPr>
        <w:t>.验收</w:t>
      </w:r>
    </w:p>
    <w:p w14:paraId="755EED96">
      <w:pPr>
        <w:adjustRightInd w:val="0"/>
        <w:snapToGrid w:val="0"/>
        <w:spacing w:line="560" w:lineRule="exact"/>
        <w:ind w:firstLine="420" w:firstLineChars="200"/>
        <w:rPr>
          <w:rFonts w:ascii="方正仿宋_GB2312" w:hAnsi="方正仿宋_GB2312" w:eastAsia="方正仿宋_GB2312" w:cs="方正仿宋_GB2312"/>
          <w:szCs w:val="21"/>
        </w:rPr>
      </w:pPr>
      <w:r>
        <w:rPr>
          <w:rFonts w:ascii="方正仿宋_GB2312" w:hAnsi="方正仿宋_GB2312" w:eastAsia="方正仿宋_GB2312" w:cs="方正仿宋_GB2312"/>
          <w:szCs w:val="21"/>
        </w:rPr>
        <w:t>8</w:t>
      </w:r>
      <w:r>
        <w:rPr>
          <w:rFonts w:hint="eastAsia" w:ascii="方正仿宋_GB2312" w:hAnsi="方正仿宋_GB2312" w:eastAsia="方正仿宋_GB2312" w:cs="方正仿宋_GB2312"/>
          <w:szCs w:val="21"/>
        </w:rPr>
        <w:t>.1 收货检验：采购人或采购人指定的收货人在交货地对中标人提交的合同产品进行检验。如果中标人提交的合同产品与合同约定不符，则采购人有权要求中标人免费更换或退货，中标人应按照采购人的要求进行更换或退换并承担由此而产生的一切费用。</w:t>
      </w:r>
    </w:p>
    <w:p w14:paraId="58312EE7">
      <w:pPr>
        <w:adjustRightInd w:val="0"/>
        <w:snapToGrid w:val="0"/>
        <w:spacing w:line="560" w:lineRule="exact"/>
        <w:ind w:firstLine="420" w:firstLineChars="200"/>
        <w:rPr>
          <w:rFonts w:ascii="方正仿宋_GB2312" w:hAnsi="方正仿宋_GB2312" w:eastAsia="方正仿宋_GB2312" w:cs="方正仿宋_GB2312"/>
          <w:szCs w:val="21"/>
        </w:rPr>
      </w:pPr>
      <w:r>
        <w:rPr>
          <w:rFonts w:ascii="方正仿宋_GB2312" w:hAnsi="方正仿宋_GB2312" w:eastAsia="方正仿宋_GB2312" w:cs="方正仿宋_GB2312"/>
          <w:szCs w:val="21"/>
        </w:rPr>
        <w:t>8</w:t>
      </w:r>
      <w:r>
        <w:rPr>
          <w:rFonts w:hint="eastAsia" w:ascii="方正仿宋_GB2312" w:hAnsi="方正仿宋_GB2312" w:eastAsia="方正仿宋_GB2312" w:cs="方正仿宋_GB2312"/>
          <w:szCs w:val="21"/>
        </w:rPr>
        <w:t>.2 中标人安装人员对现场安装安全负有责任。中标人、采购人指定人员共同参加开箱检验，及时对货物数量、品种、型号、规格进行核对、检验，如果在联合开箱检验中发现货物有任何短少，缺损，缺陷或与合同规定不符，双方代表当场签署 1 份详细报告，该报告将作为采购人在中标人有责任的情况下要求中标人进行更换、修理或补充发货的有效证据。同时中标人应及时地提出解决方案，并尽快地给以解决。</w:t>
      </w:r>
    </w:p>
    <w:p w14:paraId="11BD592A">
      <w:pPr>
        <w:adjustRightInd w:val="0"/>
        <w:snapToGrid w:val="0"/>
        <w:spacing w:line="560" w:lineRule="exact"/>
        <w:ind w:firstLine="420" w:firstLineChars="200"/>
        <w:rPr>
          <w:rFonts w:ascii="方正仿宋_GB2312" w:hAnsi="方正仿宋_GB2312" w:eastAsia="方正仿宋_GB2312" w:cs="方正仿宋_GB2312"/>
          <w:szCs w:val="21"/>
        </w:rPr>
      </w:pPr>
      <w:r>
        <w:rPr>
          <w:rFonts w:ascii="方正仿宋_GB2312" w:hAnsi="方正仿宋_GB2312" w:eastAsia="方正仿宋_GB2312" w:cs="方正仿宋_GB2312"/>
          <w:szCs w:val="21"/>
        </w:rPr>
        <w:t>8</w:t>
      </w:r>
      <w:r>
        <w:rPr>
          <w:rFonts w:hint="eastAsia" w:ascii="方正仿宋_GB2312" w:hAnsi="方正仿宋_GB2312" w:eastAsia="方正仿宋_GB2312" w:cs="方正仿宋_GB2312"/>
          <w:szCs w:val="21"/>
        </w:rPr>
        <w:t>.3 验收期限：仪器安装、调试、培训完毕后正常试运行2周，之后组织预验收（档案验收+技术指标验收）和现场综合验收。中标人应派相关人员参加并协助采购人进行验收，验收流程与方法按采购人的规定执行。</w:t>
      </w:r>
    </w:p>
    <w:p w14:paraId="614DAF3A">
      <w:pPr>
        <w:adjustRightInd w:val="0"/>
        <w:snapToGrid w:val="0"/>
        <w:spacing w:line="560" w:lineRule="exact"/>
        <w:ind w:firstLine="420" w:firstLineChars="200"/>
        <w:rPr>
          <w:rFonts w:ascii="方正仿宋_GB2312" w:hAnsi="方正仿宋_GB2312" w:eastAsia="方正仿宋_GB2312" w:cs="方正仿宋_GB2312"/>
          <w:szCs w:val="21"/>
        </w:rPr>
      </w:pPr>
      <w:r>
        <w:rPr>
          <w:rFonts w:ascii="方正仿宋_GB2312" w:hAnsi="方正仿宋_GB2312" w:eastAsia="方正仿宋_GB2312" w:cs="方正仿宋_GB2312"/>
          <w:szCs w:val="21"/>
        </w:rPr>
        <w:t>8</w:t>
      </w:r>
      <w:r>
        <w:rPr>
          <w:rFonts w:hint="eastAsia" w:ascii="方正仿宋_GB2312" w:hAnsi="方正仿宋_GB2312" w:eastAsia="方正仿宋_GB2312" w:cs="方正仿宋_GB2312"/>
          <w:szCs w:val="21"/>
        </w:rPr>
        <w:t>.4 在采购人对主机、附件、软件的性能和功能进行测试合格基础上，由采购人授权人签字验收。</w:t>
      </w:r>
    </w:p>
    <w:p w14:paraId="6FBB1BAE">
      <w:pPr>
        <w:adjustRightInd w:val="0"/>
        <w:snapToGrid w:val="0"/>
        <w:spacing w:line="560" w:lineRule="exact"/>
        <w:ind w:firstLine="420" w:firstLineChars="200"/>
        <w:rPr>
          <w:rFonts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t>8.5验收完成后，中标人应将项目有关的全部资料，包括产品资料、技术文档（模型、指导书）等，移交给采购人。</w:t>
      </w:r>
    </w:p>
    <w:p w14:paraId="15D929FE">
      <w:pPr>
        <w:adjustRightInd w:val="0"/>
        <w:snapToGrid w:val="0"/>
        <w:spacing w:line="560" w:lineRule="exact"/>
        <w:ind w:firstLine="420" w:firstLineChars="200"/>
        <w:rPr>
          <w:rFonts w:ascii="方正仿宋_GB2312" w:hAnsi="方正仿宋_GB2312" w:eastAsia="方正仿宋_GB2312" w:cs="方正仿宋_GB2312"/>
          <w:szCs w:val="21"/>
        </w:rPr>
      </w:pPr>
      <w:r>
        <w:rPr>
          <w:rFonts w:ascii="方正仿宋_GB2312" w:hAnsi="方正仿宋_GB2312" w:eastAsia="方正仿宋_GB2312" w:cs="方正仿宋_GB2312"/>
          <w:szCs w:val="21"/>
        </w:rPr>
        <w:t>9</w:t>
      </w:r>
      <w:r>
        <w:rPr>
          <w:rFonts w:hint="eastAsia" w:ascii="方正仿宋_GB2312" w:hAnsi="方正仿宋_GB2312" w:eastAsia="方正仿宋_GB2312" w:cs="方正仿宋_GB2312"/>
          <w:szCs w:val="21"/>
        </w:rPr>
        <w:t>.其他要求</w:t>
      </w:r>
    </w:p>
    <w:p w14:paraId="16A871E3">
      <w:pPr>
        <w:adjustRightInd w:val="0"/>
        <w:snapToGrid w:val="0"/>
        <w:spacing w:line="560" w:lineRule="exact"/>
        <w:ind w:firstLine="420" w:firstLineChars="200"/>
        <w:rPr>
          <w:rFonts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t>所有投标人必须提供技术成熟的定型产品，不接受通过改造才能达标的产品，不接受目前尚处于开发、设计、研制或试验阶段的产品。</w:t>
      </w:r>
    </w:p>
    <w:p w14:paraId="04F243C3">
      <w:pPr>
        <w:pStyle w:val="13"/>
        <w:kinsoku w:val="0"/>
        <w:overflowPunct w:val="0"/>
        <w:autoSpaceDE w:val="0"/>
        <w:autoSpaceDN w:val="0"/>
        <w:spacing w:line="288" w:lineRule="auto"/>
        <w:ind w:firstLine="0" w:firstLineChars="0"/>
        <w:outlineLvl w:val="0"/>
        <w:rPr>
          <w:rFonts w:ascii="黑体" w:hAnsi="黑体" w:eastAsia="黑体" w:cs="黑体"/>
          <w:bCs/>
          <w:sz w:val="32"/>
          <w:szCs w:val="32"/>
        </w:rPr>
      </w:pPr>
      <w:r>
        <w:rPr>
          <w:rFonts w:hint="eastAsia" w:ascii="黑体" w:hAnsi="黑体" w:eastAsia="黑体" w:cs="黑体"/>
          <w:bCs/>
          <w:sz w:val="32"/>
          <w:szCs w:val="32"/>
        </w:rPr>
        <w:t>二、包装要求及运输方式</w:t>
      </w:r>
    </w:p>
    <w:p w14:paraId="2CEF62BD">
      <w:pPr>
        <w:adjustRightInd w:val="0"/>
        <w:snapToGrid w:val="0"/>
        <w:spacing w:line="560" w:lineRule="exact"/>
        <w:ind w:firstLine="420" w:firstLineChars="200"/>
        <w:rPr>
          <w:rFonts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t>1.包装要求，应使用崭新坚固的包装箱，适合于空运、海运或陆运等长途运输方式。适合气候变化、抗震、防潮、防雨、防锈、防冻。中标人应对任何由于不当包装或防护措施不利而导致的商品损坏、损失、锈蚀、费用增长等后果负责。</w:t>
      </w:r>
    </w:p>
    <w:p w14:paraId="68D44ECE">
      <w:pPr>
        <w:adjustRightInd w:val="0"/>
        <w:snapToGrid w:val="0"/>
        <w:spacing w:line="560" w:lineRule="exact"/>
        <w:ind w:firstLine="420" w:firstLineChars="200"/>
        <w:rPr>
          <w:rFonts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t>2.在未收货前，货物保管、安全均由中标人负责。</w:t>
      </w:r>
    </w:p>
    <w:p w14:paraId="51CBC80E">
      <w:pPr>
        <w:adjustRightInd w:val="0"/>
        <w:snapToGrid w:val="0"/>
        <w:spacing w:line="560" w:lineRule="exact"/>
        <w:ind w:firstLine="420" w:firstLineChars="200"/>
        <w:rPr>
          <w:rFonts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t>3.提供的产品须为全新原装正品，相关配套附件质量优良，数量齐全。</w:t>
      </w:r>
    </w:p>
    <w:p w14:paraId="464AC7CB">
      <w:pPr>
        <w:adjustRightInd w:val="0"/>
        <w:snapToGrid w:val="0"/>
        <w:spacing w:line="560" w:lineRule="exact"/>
        <w:ind w:firstLine="420" w:firstLineChars="200"/>
        <w:rPr>
          <w:rFonts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t>4.中标人需注明仪器设备的免费上门质保期限和具体的维修保障内容。在质保期满后，中标人应提供终身上门维修保养且仅收取成本费，并在标书中标明上门维修保养的费用。</w:t>
      </w:r>
    </w:p>
    <w:p w14:paraId="409E388F">
      <w:pPr>
        <w:adjustRightInd w:val="0"/>
        <w:snapToGrid w:val="0"/>
        <w:spacing w:line="560" w:lineRule="exact"/>
        <w:ind w:firstLine="420" w:firstLineChars="200"/>
        <w:rPr>
          <w:rFonts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t>5.采购人使用该设备的任何一部分，当受第三方提出的侵犯其专利权、商标权或工业设计权的投诉时，一切后果由中标人负责。</w:t>
      </w:r>
    </w:p>
    <w:p w14:paraId="64418AEB">
      <w:pPr>
        <w:widowControl/>
        <w:wordWrap w:val="0"/>
        <w:spacing w:line="540" w:lineRule="exact"/>
        <w:ind w:firstLine="420" w:firstLineChars="200"/>
        <w:jc w:val="left"/>
        <w:rPr>
          <w:rFonts w:ascii="仿宋_GB2312" w:hAnsi="宋体" w:eastAsia="仿宋_GB2312"/>
          <w:szCs w:val="21"/>
        </w:rPr>
      </w:pPr>
      <w:r>
        <w:rPr>
          <w:rFonts w:hint="eastAsia" w:ascii="仿宋_GB2312" w:hAnsi="宋体" w:eastAsia="仿宋_GB2312"/>
          <w:szCs w:val="21"/>
        </w:rPr>
        <w:t>6中标人负责产品在安装地点的保管，直至项目验收合格。</w:t>
      </w:r>
    </w:p>
    <w:p w14:paraId="4E3ABD2D">
      <w:pPr>
        <w:widowControl/>
        <w:wordWrap w:val="0"/>
        <w:spacing w:line="540" w:lineRule="exact"/>
        <w:ind w:firstLine="420" w:firstLineChars="200"/>
        <w:jc w:val="left"/>
        <w:rPr>
          <w:rFonts w:ascii="仿宋_GB2312" w:hAnsi="宋体" w:eastAsia="仿宋_GB2312"/>
          <w:szCs w:val="21"/>
        </w:rPr>
      </w:pPr>
      <w:r>
        <w:rPr>
          <w:rFonts w:hint="eastAsia" w:ascii="仿宋_GB2312" w:hAnsi="宋体" w:eastAsia="仿宋_GB2312"/>
          <w:szCs w:val="21"/>
        </w:rPr>
        <w:t>7中标人负责其派出的安装施工人员的人身意外保险。</w:t>
      </w:r>
    </w:p>
    <w:p w14:paraId="40995AA7">
      <w:pPr>
        <w:widowControl/>
        <w:wordWrap w:val="0"/>
        <w:spacing w:line="540" w:lineRule="exact"/>
        <w:ind w:firstLine="420" w:firstLineChars="200"/>
        <w:jc w:val="left"/>
        <w:rPr>
          <w:szCs w:val="21"/>
        </w:rPr>
      </w:pPr>
      <w:r>
        <w:rPr>
          <w:rFonts w:hint="eastAsia" w:ascii="仿宋_GB2312" w:hAnsi="宋体" w:eastAsia="仿宋_GB2312"/>
          <w:szCs w:val="21"/>
        </w:rPr>
        <w:t>8投标人在投标前，如需踏勘现场，有关费用自理，踏勘期间发生的意外自负。</w:t>
      </w:r>
    </w:p>
    <w:p w14:paraId="05F3C286">
      <w:pPr>
        <w:pStyle w:val="13"/>
        <w:kinsoku w:val="0"/>
        <w:overflowPunct w:val="0"/>
        <w:autoSpaceDE w:val="0"/>
        <w:autoSpaceDN w:val="0"/>
        <w:spacing w:line="288" w:lineRule="auto"/>
        <w:ind w:firstLine="0" w:firstLineChars="0"/>
        <w:outlineLvl w:val="0"/>
        <w:rPr>
          <w:rFonts w:ascii="黑体" w:hAnsi="黑体" w:eastAsia="黑体" w:cs="黑体"/>
          <w:bCs/>
          <w:sz w:val="32"/>
          <w:szCs w:val="32"/>
          <w:lang w:val="zh-CN"/>
        </w:rPr>
      </w:pPr>
      <w:r>
        <w:rPr>
          <w:rFonts w:hint="eastAsia" w:ascii="黑体" w:hAnsi="黑体" w:eastAsia="黑体" w:cs="黑体"/>
          <w:bCs/>
          <w:sz w:val="32"/>
          <w:szCs w:val="32"/>
          <w:lang w:val="zh-CN"/>
        </w:rPr>
        <w:t>三、付款方式与交货</w:t>
      </w:r>
    </w:p>
    <w:p w14:paraId="41FDE7D9">
      <w:pPr>
        <w:adjustRightInd w:val="0"/>
        <w:snapToGrid w:val="0"/>
        <w:spacing w:line="560" w:lineRule="exact"/>
        <w:ind w:firstLine="420" w:firstLineChars="200"/>
        <w:rPr>
          <w:rFonts w:ascii="方正仿宋_GB2312" w:hAnsi="方正仿宋_GB2312" w:eastAsia="方正仿宋_GB2312" w:cs="方正仿宋_GB2312"/>
          <w:szCs w:val="21"/>
        </w:rPr>
      </w:pPr>
      <w:bookmarkStart w:id="0" w:name="_Hlk79778165"/>
      <w:r>
        <w:rPr>
          <w:rFonts w:hint="eastAsia" w:ascii="方正仿宋_GB2312" w:hAnsi="方正仿宋_GB2312" w:eastAsia="方正仿宋_GB2312" w:cs="方正仿宋_GB2312"/>
          <w:szCs w:val="21"/>
        </w:rPr>
        <w:t>1.投标方报价中必须包括所有费用，即不需要再花费额外任何资金，仪器设备安装验收后就能正常工作使用。</w:t>
      </w:r>
    </w:p>
    <w:p w14:paraId="31CB55AF">
      <w:pPr>
        <w:adjustRightInd w:val="0"/>
        <w:snapToGrid w:val="0"/>
        <w:spacing w:line="560" w:lineRule="exact"/>
        <w:ind w:firstLine="420" w:firstLineChars="200"/>
        <w:rPr>
          <w:rFonts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t>2.本项目为交钥匙工程，投标人的投标报价中包含完成本项目所需的费用，含运输、税费、安装调试、验收等一切费用。投标人应根据项目要求和现场情况，详细列明项目所需的设备及材料购置，以及产品运输保险保管、税费、项目安装调试通过验收、培训、质保期免费保修维护等所有人工、管理、财务等所有费用，如一旦中标，在项目实施中出现任何遗漏，均由中标人免费提供，采购人不再支付任何费用。</w:t>
      </w:r>
    </w:p>
    <w:bookmarkEnd w:id="0"/>
    <w:p w14:paraId="42AC0C35">
      <w:pPr>
        <w:adjustRightInd w:val="0"/>
        <w:snapToGrid w:val="0"/>
        <w:spacing w:line="560" w:lineRule="exact"/>
        <w:ind w:firstLine="420" w:firstLineChars="200"/>
        <w:rPr>
          <w:rFonts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t>3.付款方式：</w:t>
      </w:r>
      <w:bookmarkStart w:id="1" w:name="_Hlk91771041"/>
    </w:p>
    <w:p w14:paraId="02692EA7">
      <w:pPr>
        <w:adjustRightInd w:val="0"/>
        <w:snapToGrid w:val="0"/>
        <w:spacing w:line="560" w:lineRule="exact"/>
        <w:ind w:firstLine="420" w:firstLineChars="200"/>
        <w:rPr>
          <w:rFonts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t>3.1</w:t>
      </w:r>
      <w:bookmarkEnd w:id="1"/>
      <w:r>
        <w:rPr>
          <w:rFonts w:hint="eastAsia" w:ascii="方正仿宋_GB2312" w:hAnsi="方正仿宋_GB2312" w:eastAsia="方正仿宋_GB2312" w:cs="方正仿宋_GB2312"/>
          <w:szCs w:val="21"/>
        </w:rPr>
        <w:t>合同签订后7个工作日内，采购人支付合同全款的30%作预付款；货到采购人指定地点并经检查无误，同时中标人向采购人指定账户缴纳合同金额的5%作为履约保证金后7个工作日内支付合同全款的50%；安装调试完成并经验收合格后7个工作日内，向中标人支付合同全款的20%。履约保证金在验收合格之日起12个月后7个工作日内退回，不计利息。</w:t>
      </w:r>
    </w:p>
    <w:p w14:paraId="15C0223A">
      <w:pPr>
        <w:adjustRightInd w:val="0"/>
        <w:snapToGrid w:val="0"/>
        <w:spacing w:line="560" w:lineRule="exact"/>
        <w:ind w:firstLine="420" w:firstLineChars="200"/>
        <w:rPr>
          <w:rFonts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t>3.2采购人凭中标人提供的等额</w:t>
      </w:r>
      <w:r>
        <w:rPr>
          <w:rFonts w:hint="eastAsia" w:ascii="方正仿宋_GB2312" w:hAnsi="方正仿宋_GB2312" w:eastAsia="方正仿宋_GB2312" w:cs="方正仿宋_GB2312"/>
          <w:b/>
          <w:bCs/>
          <w:szCs w:val="21"/>
        </w:rPr>
        <w:t>法定增值税专用发票</w:t>
      </w:r>
      <w:r>
        <w:rPr>
          <w:rFonts w:hint="eastAsia" w:ascii="方正仿宋_GB2312" w:hAnsi="方正仿宋_GB2312" w:eastAsia="方正仿宋_GB2312" w:cs="方正仿宋_GB2312"/>
          <w:szCs w:val="21"/>
        </w:rPr>
        <w:t>，向中标人付款。中标人延期提供发票，则采购人付款时间相应顺延。</w:t>
      </w:r>
    </w:p>
    <w:p w14:paraId="48E06CA4">
      <w:pPr>
        <w:numPr>
          <w:ilvl w:val="0"/>
          <w:numId w:val="1"/>
        </w:numPr>
        <w:adjustRightInd w:val="0"/>
        <w:snapToGrid w:val="0"/>
        <w:spacing w:line="560" w:lineRule="exact"/>
        <w:ind w:firstLine="420" w:firstLineChars="200"/>
        <w:rPr>
          <w:rFonts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t>交货时间：合同签订后45天内。</w:t>
      </w:r>
    </w:p>
    <w:p w14:paraId="6BD6E3FB">
      <w:pPr>
        <w:widowControl/>
        <w:wordWrap w:val="0"/>
        <w:spacing w:line="540" w:lineRule="exact"/>
        <w:ind w:firstLine="420" w:firstLineChars="200"/>
        <w:jc w:val="left"/>
        <w:rPr>
          <w:rFonts w:ascii="仿宋_GB2312" w:hAnsi="宋体" w:eastAsia="仿宋_GB2312"/>
          <w:szCs w:val="21"/>
        </w:rPr>
      </w:pPr>
      <w:r>
        <w:rPr>
          <w:rFonts w:hint="eastAsia" w:ascii="仿宋_GB2312" w:hAnsi="宋体" w:eastAsia="仿宋_GB2312"/>
          <w:szCs w:val="21"/>
        </w:rPr>
        <w:t>5 中标人逾期交付货物或逾期完成安装调试的，每逾期一天，须按合同总金额的万分之【十】支付逾期履行违约金。有下列情形之一的，甲方有权解除本合同：乙方迟延交付货物或迟延完成安装调试，累计逾期达到【10】日的；</w:t>
      </w:r>
    </w:p>
    <w:p w14:paraId="0E62506D">
      <w:pPr>
        <w:pStyle w:val="2"/>
        <w:ind w:left="0" w:leftChars="0" w:firstLine="0" w:firstLineChars="0"/>
        <w:rPr>
          <w:szCs w:val="21"/>
        </w:rPr>
      </w:pPr>
    </w:p>
    <w:p w14:paraId="5ADA0653">
      <w:pPr>
        <w:adjustRightInd w:val="0"/>
        <w:snapToGrid w:val="0"/>
        <w:spacing w:line="560" w:lineRule="exact"/>
        <w:ind w:firstLine="420" w:firstLineChars="200"/>
        <w:rPr>
          <w:rFonts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t>5.交货内容</w:t>
      </w:r>
    </w:p>
    <w:p w14:paraId="00689DD9">
      <w:pPr>
        <w:adjustRightInd w:val="0"/>
        <w:snapToGrid w:val="0"/>
        <w:spacing w:line="560" w:lineRule="exact"/>
        <w:ind w:firstLine="420" w:firstLineChars="200"/>
        <w:rPr>
          <w:rFonts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t>5.1设备主件及附件。</w:t>
      </w:r>
    </w:p>
    <w:p w14:paraId="2A8402F5">
      <w:pPr>
        <w:adjustRightInd w:val="0"/>
        <w:snapToGrid w:val="0"/>
        <w:spacing w:line="560" w:lineRule="exact"/>
        <w:ind w:firstLine="420" w:firstLineChars="200"/>
        <w:rPr>
          <w:rFonts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t>5.2设备各种资料，包括提供设备出厂合格证、使用说明书、质量证明文件、装箱单、技术资料、模型、开源程序等。</w:t>
      </w:r>
    </w:p>
    <w:p w14:paraId="73CCF3D7">
      <w:pPr>
        <w:adjustRightInd w:val="0"/>
        <w:snapToGrid w:val="0"/>
        <w:spacing w:line="560" w:lineRule="exact"/>
        <w:ind w:firstLine="420" w:firstLineChars="200"/>
        <w:rPr>
          <w:rFonts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t>5.交货地点：</w:t>
      </w:r>
      <w:r>
        <w:rPr>
          <w:rFonts w:hint="eastAsia" w:ascii="方正仿宋_GB2312" w:hAnsi="方正仿宋_GB2312" w:eastAsia="方正仿宋_GB2312" w:cs="方正仿宋_GB2312"/>
          <w:szCs w:val="21"/>
          <w:lang w:val="en-US" w:eastAsia="zh-CN"/>
        </w:rPr>
        <w:t>中南大学</w:t>
      </w:r>
      <w:bookmarkStart w:id="2" w:name="_GoBack"/>
      <w:bookmarkEnd w:id="2"/>
      <w:r>
        <w:rPr>
          <w:rFonts w:hint="eastAsia" w:ascii="方正仿宋_GB2312" w:hAnsi="方正仿宋_GB2312" w:eastAsia="方正仿宋_GB2312" w:cs="方正仿宋_GB2312"/>
          <w:szCs w:val="21"/>
        </w:rPr>
        <w:t>。</w:t>
      </w:r>
    </w:p>
    <w:p w14:paraId="55FCF421">
      <w:pPr>
        <w:rPr>
          <w:szCs w:val="21"/>
        </w:rPr>
      </w:pPr>
    </w:p>
    <w:sectPr>
      <w:footerReference r:id="rId3" w:type="default"/>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方正小标宋简体">
    <w:panose1 w:val="03000509000000000000"/>
    <w:charset w:val="86"/>
    <w:family w:val="script"/>
    <w:pitch w:val="default"/>
    <w:sig w:usb0="00000001" w:usb1="080E0000" w:usb2="00000000" w:usb3="00000000" w:csb0="00040000" w:csb1="00000000"/>
  </w:font>
  <w:font w:name="方正仿宋_GB2312">
    <w:altName w:val="仿宋"/>
    <w:panose1 w:val="00000000000000000000"/>
    <w:charset w:val="00"/>
    <w:family w:val="auto"/>
    <w:pitch w:val="default"/>
    <w:sig w:usb0="00000000" w:usb1="00000000" w:usb2="00000000" w:usb3="00000000" w:csb0="00000000" w:csb1="00000000"/>
  </w:font>
  <w:font w:name="仿宋">
    <w:panose1 w:val="02010609060101010101"/>
    <w:charset w:val="86"/>
    <w:family w:val="auto"/>
    <w:pitch w:val="default"/>
    <w:sig w:usb0="800002BF" w:usb1="38CF7CFA" w:usb2="00000016" w:usb3="00000000" w:csb0="00040001" w:csb1="00000000"/>
  </w:font>
  <w:font w:name="仿宋_GB2312">
    <w:panose1 w:val="02010609030101010101"/>
    <w:charset w:val="86"/>
    <w:family w:val="auto"/>
    <w:pitch w:val="default"/>
    <w:sig w:usb0="00000001" w:usb1="080E0000" w:usb2="00000000" w:usb3="00000000" w:csb0="00040000" w:csb1="00000000"/>
  </w:font>
  <w:font w:name="微软雅黑">
    <w:panose1 w:val="020B0503020204020204"/>
    <w:charset w:val="86"/>
    <w:family w:val="auto"/>
    <w:pitch w:val="default"/>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1692420375"/>
    </w:sdtPr>
    <w:sdtContent>
      <w:sdt>
        <w:sdtPr>
          <w:id w:val="1728636285"/>
        </w:sdtPr>
        <w:sdtContent>
          <w:p w14:paraId="5420F7A1">
            <w:pPr>
              <w:pStyle w:val="7"/>
              <w:jc w:val="center"/>
            </w:pPr>
            <w:r>
              <w:rPr>
                <w:b/>
                <w:bCs/>
                <w:sz w:val="24"/>
                <w:szCs w:val="24"/>
              </w:rPr>
              <w:fldChar w:fldCharType="begin"/>
            </w:r>
            <w:r>
              <w:rPr>
                <w:b/>
                <w:bCs/>
              </w:rPr>
              <w:instrText xml:space="preserve">PAGE</w:instrText>
            </w:r>
            <w:r>
              <w:rPr>
                <w:b/>
                <w:bCs/>
                <w:sz w:val="24"/>
                <w:szCs w:val="24"/>
              </w:rPr>
              <w:fldChar w:fldCharType="separate"/>
            </w:r>
            <w:r>
              <w:rPr>
                <w:b/>
                <w:bCs/>
              </w:rPr>
              <w:t>5</w:t>
            </w:r>
            <w:r>
              <w:rPr>
                <w:b/>
                <w:bCs/>
                <w:sz w:val="24"/>
                <w:szCs w:val="24"/>
              </w:rPr>
              <w:fldChar w:fldCharType="end"/>
            </w:r>
            <w:r>
              <w:rPr>
                <w:lang w:val="zh-CN"/>
              </w:rPr>
              <w:t xml:space="preserve"> / </w:t>
            </w:r>
            <w:r>
              <w:rPr>
                <w:b/>
                <w:bCs/>
                <w:sz w:val="24"/>
                <w:szCs w:val="24"/>
              </w:rPr>
              <w:fldChar w:fldCharType="begin"/>
            </w:r>
            <w:r>
              <w:rPr>
                <w:b/>
                <w:bCs/>
              </w:rPr>
              <w:instrText xml:space="preserve">NUMPAGES</w:instrText>
            </w:r>
            <w:r>
              <w:rPr>
                <w:b/>
                <w:bCs/>
                <w:sz w:val="24"/>
                <w:szCs w:val="24"/>
              </w:rPr>
              <w:fldChar w:fldCharType="separate"/>
            </w:r>
            <w:r>
              <w:rPr>
                <w:b/>
                <w:bCs/>
              </w:rPr>
              <w:t>5</w:t>
            </w:r>
            <w:r>
              <w:rPr>
                <w:b/>
                <w:bCs/>
                <w:sz w:val="24"/>
                <w:szCs w:val="24"/>
              </w:rPr>
              <w:fldChar w:fldCharType="end"/>
            </w:r>
          </w:p>
        </w:sdtContent>
      </w:sdt>
    </w:sdtContent>
  </w:sdt>
  <w:p w14:paraId="4E3746D6">
    <w:pPr>
      <w:pStyle w:val="7"/>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FB1D9C9"/>
    <w:multiLevelType w:val="singleLevel"/>
    <w:tmpl w:val="9FB1D9C9"/>
    <w:lvl w:ilvl="0" w:tentative="0">
      <w:start w:val="4"/>
      <w:numFmt w:val="decimal"/>
      <w:lvlText w:val="%1."/>
      <w:lvlJc w:val="left"/>
      <w:pPr>
        <w:tabs>
          <w:tab w:val="left" w:pos="312"/>
        </w:tabs>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1D4E3BF3"/>
    <w:rsid w:val="00021EEF"/>
    <w:rsid w:val="00214F16"/>
    <w:rsid w:val="003501F3"/>
    <w:rsid w:val="00527FBE"/>
    <w:rsid w:val="00744A90"/>
    <w:rsid w:val="00787F08"/>
    <w:rsid w:val="009E2776"/>
    <w:rsid w:val="00B6061A"/>
    <w:rsid w:val="1D4E3BF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unhideWhenUsed="0" w:uiPriority="0" w:semiHidden="0" w:name="Body Text"/>
    <w:lsdException w:qFormat="1" w:uiPriority="99"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qFormat="1" w:uiPriority="99"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qFormat="1"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iPriority="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nhideWhenUsed="0" w:uiPriority="0" w:semiHidden="0" w:name="Table Subtle 1"/>
    <w:lsdException w:uiPriority="0" w:name="Table Subtle 2"/>
    <w:lsdException w:uiPriority="0" w:name="Table Web 1"/>
    <w:lsdException w:unhideWhenUsed="0" w:uiPriority="0" w:semiHidden="0" w:name="Table Web 2"/>
    <w:lsdException w:unhideWhenUsed="0" w:uiPriority="0" w:semiHidden="0" w:name="Table Web 3"/>
    <w:lsdException w:qFormat="1" w:unhideWhenUsed="0" w:uiPriority="0" w:semiHidden="0" w:name="Balloon Text"/>
    <w:lsdException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1"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11">
    <w:name w:val="Default Paragraph Font"/>
    <w:semiHidden/>
    <w:unhideWhenUsed/>
    <w:qFormat/>
    <w:uiPriority w:val="1"/>
  </w:style>
  <w:style w:type="table" w:default="1" w:styleId="10">
    <w:name w:val="Normal Table"/>
    <w:semiHidden/>
    <w:unhideWhenUsed/>
    <w:uiPriority w:val="99"/>
    <w:tblPr>
      <w:tblCellMar>
        <w:top w:w="0" w:type="dxa"/>
        <w:left w:w="108" w:type="dxa"/>
        <w:bottom w:w="0" w:type="dxa"/>
        <w:right w:w="108" w:type="dxa"/>
      </w:tblCellMar>
    </w:tblPr>
  </w:style>
  <w:style w:type="paragraph" w:styleId="2">
    <w:name w:val="Body Text First Indent 2"/>
    <w:basedOn w:val="3"/>
    <w:next w:val="1"/>
    <w:unhideWhenUsed/>
    <w:qFormat/>
    <w:uiPriority w:val="99"/>
    <w:pPr>
      <w:ind w:firstLine="420" w:firstLineChars="200"/>
    </w:pPr>
  </w:style>
  <w:style w:type="paragraph" w:styleId="3">
    <w:name w:val="Body Text Indent"/>
    <w:basedOn w:val="1"/>
    <w:next w:val="4"/>
    <w:unhideWhenUsed/>
    <w:qFormat/>
    <w:uiPriority w:val="99"/>
    <w:pPr>
      <w:spacing w:after="120"/>
      <w:ind w:left="420" w:leftChars="200"/>
    </w:pPr>
  </w:style>
  <w:style w:type="paragraph" w:styleId="4">
    <w:name w:val="Body Text Indent 2"/>
    <w:basedOn w:val="1"/>
    <w:qFormat/>
    <w:uiPriority w:val="0"/>
    <w:pPr>
      <w:spacing w:after="120" w:line="480" w:lineRule="auto"/>
      <w:ind w:left="420" w:leftChars="200"/>
    </w:pPr>
  </w:style>
  <w:style w:type="paragraph" w:styleId="5">
    <w:name w:val="annotation text"/>
    <w:basedOn w:val="1"/>
    <w:link w:val="15"/>
    <w:qFormat/>
    <w:uiPriority w:val="0"/>
    <w:pPr>
      <w:jc w:val="left"/>
    </w:pPr>
  </w:style>
  <w:style w:type="paragraph" w:styleId="6">
    <w:name w:val="Balloon Text"/>
    <w:basedOn w:val="1"/>
    <w:link w:val="17"/>
    <w:qFormat/>
    <w:uiPriority w:val="0"/>
    <w:rPr>
      <w:sz w:val="18"/>
      <w:szCs w:val="18"/>
    </w:rPr>
  </w:style>
  <w:style w:type="paragraph" w:styleId="7">
    <w:name w:val="footer"/>
    <w:basedOn w:val="1"/>
    <w:unhideWhenUsed/>
    <w:qFormat/>
    <w:uiPriority w:val="99"/>
    <w:pPr>
      <w:tabs>
        <w:tab w:val="center" w:pos="4153"/>
        <w:tab w:val="right" w:pos="8306"/>
      </w:tabs>
      <w:snapToGrid w:val="0"/>
      <w:jc w:val="left"/>
    </w:pPr>
    <w:rPr>
      <w:sz w:val="18"/>
      <w:szCs w:val="18"/>
    </w:rPr>
  </w:style>
  <w:style w:type="paragraph" w:styleId="8">
    <w:name w:val="header"/>
    <w:basedOn w:val="1"/>
    <w:link w:val="14"/>
    <w:qFormat/>
    <w:uiPriority w:val="0"/>
    <w:pPr>
      <w:pBdr>
        <w:bottom w:val="single" w:color="auto" w:sz="6" w:space="1"/>
      </w:pBdr>
      <w:tabs>
        <w:tab w:val="center" w:pos="4153"/>
        <w:tab w:val="right" w:pos="8306"/>
      </w:tabs>
      <w:snapToGrid w:val="0"/>
      <w:jc w:val="center"/>
    </w:pPr>
    <w:rPr>
      <w:sz w:val="18"/>
      <w:szCs w:val="18"/>
    </w:rPr>
  </w:style>
  <w:style w:type="paragraph" w:styleId="9">
    <w:name w:val="annotation subject"/>
    <w:basedOn w:val="5"/>
    <w:next w:val="5"/>
    <w:link w:val="16"/>
    <w:qFormat/>
    <w:uiPriority w:val="0"/>
    <w:rPr>
      <w:b/>
      <w:bCs/>
    </w:rPr>
  </w:style>
  <w:style w:type="character" w:styleId="12">
    <w:name w:val="annotation reference"/>
    <w:basedOn w:val="11"/>
    <w:qFormat/>
    <w:uiPriority w:val="0"/>
    <w:rPr>
      <w:sz w:val="21"/>
      <w:szCs w:val="21"/>
    </w:rPr>
  </w:style>
  <w:style w:type="paragraph" w:styleId="13">
    <w:name w:val="List Paragraph"/>
    <w:basedOn w:val="1"/>
    <w:qFormat/>
    <w:uiPriority w:val="1"/>
    <w:pPr>
      <w:ind w:firstLine="420" w:firstLineChars="200"/>
    </w:pPr>
  </w:style>
  <w:style w:type="character" w:customStyle="1" w:styleId="14">
    <w:name w:val="页眉 字符"/>
    <w:basedOn w:val="11"/>
    <w:link w:val="8"/>
    <w:qFormat/>
    <w:uiPriority w:val="0"/>
    <w:rPr>
      <w:kern w:val="2"/>
      <w:sz w:val="18"/>
      <w:szCs w:val="18"/>
    </w:rPr>
  </w:style>
  <w:style w:type="character" w:customStyle="1" w:styleId="15">
    <w:name w:val="批注文字 字符"/>
    <w:basedOn w:val="11"/>
    <w:link w:val="5"/>
    <w:qFormat/>
    <w:uiPriority w:val="0"/>
    <w:rPr>
      <w:kern w:val="2"/>
      <w:sz w:val="21"/>
      <w:szCs w:val="22"/>
    </w:rPr>
  </w:style>
  <w:style w:type="character" w:customStyle="1" w:styleId="16">
    <w:name w:val="批注主题 字符"/>
    <w:basedOn w:val="15"/>
    <w:link w:val="9"/>
    <w:qFormat/>
    <w:uiPriority w:val="0"/>
    <w:rPr>
      <w:b/>
      <w:bCs/>
      <w:kern w:val="2"/>
      <w:sz w:val="21"/>
      <w:szCs w:val="22"/>
    </w:rPr>
  </w:style>
  <w:style w:type="character" w:customStyle="1" w:styleId="17">
    <w:name w:val="批注框文本 字符"/>
    <w:basedOn w:val="11"/>
    <w:link w:val="6"/>
    <w:qFormat/>
    <w:uiPriority w:val="0"/>
    <w:rPr>
      <w:kern w:val="2"/>
      <w:sz w:val="18"/>
      <w:szCs w:val="18"/>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numbering" Target="numbering.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5</Pages>
  <Words>3084</Words>
  <Characters>3170</Characters>
  <Lines>22</Lines>
  <Paragraphs>6</Paragraphs>
  <TotalTime>0</TotalTime>
  <ScaleCrop>false</ScaleCrop>
  <LinksUpToDate>false</LinksUpToDate>
  <CharactersWithSpaces>3177</CharactersWithSpaces>
  <Application>WPS Office_12.1.0.22529_F1E327BC-269C-435d-A152-05C5408002CA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2026-01-15T09:37:00Z</dcterms:created>
  <dc:creator>万坤</dc:creator>
  <cp:lastModifiedBy>段池</cp:lastModifiedBy>
  <dcterms:modified xsi:type="dcterms:W3CDTF">2026-01-19T07:46:34Z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2052-12.1.0.22529</vt:lpwstr>
  </property>
  <property fmtid="{D5CDD505-2E9C-101B-9397-08002B2CF9AE}" pid="3" name="ICV">
    <vt:lpwstr>AFCD0B66F88F487F9133D994ABAE1B15_11</vt:lpwstr>
  </property>
  <property fmtid="{D5CDD505-2E9C-101B-9397-08002B2CF9AE}" pid="4" name="KSOTemplateDocerSaveRecord">
    <vt:lpwstr>eyJoZGlkIjoiMmVkMDYxNzg5YmJlZTUyODViYzkzNjVhMDVhMDUzYTYiLCJ1c2VySWQiOiIxNjg1MTkxNzc3In0=</vt:lpwstr>
  </property>
</Properties>
</file>