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10E825">
      <w:pPr>
        <w:pStyle w:val="4"/>
        <w:jc w:val="center"/>
        <w:rPr>
          <w:rFonts w:hint="default"/>
          <w:b/>
          <w:bCs/>
          <w:sz w:val="36"/>
          <w:szCs w:val="36"/>
          <w:lang w:val="en-US" w:eastAsia="zh-CN"/>
        </w:rPr>
      </w:pPr>
      <w:r>
        <w:rPr>
          <w:rFonts w:hint="eastAsia"/>
          <w:b/>
          <w:bCs/>
          <w:sz w:val="36"/>
          <w:szCs w:val="36"/>
          <w:lang w:val="en-US" w:eastAsia="zh-CN"/>
        </w:rPr>
        <w:t>商务要求</w:t>
      </w:r>
    </w:p>
    <w:p w14:paraId="12EFDFD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pPr>
      <w:r>
        <w:rPr>
          <w:rFonts w:hint="eastAsia" w:asciiTheme="minorEastAsia" w:hAnsiTheme="minorEastAsia" w:cstheme="minorEastAsia"/>
          <w:sz w:val="24"/>
          <w:lang w:val="en-US" w:eastAsia="zh-CN"/>
        </w:rPr>
        <w:t>1.招标预算</w:t>
      </w:r>
      <w:r>
        <w:rPr>
          <w:rFonts w:hint="eastAsia" w:asciiTheme="minorEastAsia" w:hAnsiTheme="minorEastAsia" w:cstheme="minorEastAsia"/>
          <w:sz w:val="24"/>
        </w:rPr>
        <w:t>：</w:t>
      </w:r>
      <w:r>
        <w:rPr>
          <w:rFonts w:hint="eastAsia" w:asciiTheme="minorEastAsia" w:hAnsiTheme="minorEastAsia" w:cstheme="minorEastAsia"/>
          <w:sz w:val="24"/>
          <w:lang w:val="en-US" w:eastAsia="zh-CN"/>
        </w:rPr>
        <w:t>188万元</w:t>
      </w:r>
    </w:p>
    <w:p w14:paraId="0DD51F5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asciiTheme="minorEastAsia" w:hAnsiTheme="minorEastAsia" w:cstheme="minorEastAsia"/>
          <w:sz w:val="24"/>
        </w:rPr>
      </w:pPr>
      <w:r>
        <w:rPr>
          <w:rFonts w:hint="eastAsia" w:asciiTheme="minorEastAsia" w:hAnsiTheme="minorEastAsia" w:cstheme="minorEastAsia"/>
          <w:sz w:val="24"/>
          <w:lang w:val="en-US" w:eastAsia="zh-CN"/>
        </w:rPr>
        <w:t>2.交货及</w:t>
      </w:r>
      <w:r>
        <w:rPr>
          <w:rFonts w:hint="eastAsia" w:asciiTheme="minorEastAsia" w:hAnsiTheme="minorEastAsia" w:cstheme="minorEastAsia"/>
          <w:sz w:val="24"/>
        </w:rPr>
        <w:t>建设地点：中南大学</w:t>
      </w:r>
      <w:bookmarkStart w:id="0" w:name="_GoBack"/>
      <w:bookmarkEnd w:id="0"/>
    </w:p>
    <w:p w14:paraId="451BC123">
      <w:pPr>
        <w:shd w:val="clear" w:color="auto" w:fill="FFFFFF"/>
        <w:spacing w:line="360" w:lineRule="auto"/>
        <w:jc w:val="left"/>
        <w:rPr>
          <w:rFonts w:hint="eastAsia" w:asciiTheme="minorEastAsia" w:hAnsiTheme="minorEastAsia" w:cstheme="minorEastAsia"/>
          <w:color w:val="auto"/>
          <w:sz w:val="24"/>
        </w:rPr>
      </w:pPr>
      <w:r>
        <w:rPr>
          <w:rFonts w:hint="eastAsia" w:asciiTheme="minorEastAsia" w:hAnsiTheme="minorEastAsia" w:cstheme="minorEastAsia"/>
          <w:sz w:val="24"/>
          <w:lang w:val="en-US" w:eastAsia="zh-CN"/>
        </w:rPr>
        <w:t>3.交货时间</w:t>
      </w:r>
      <w:r>
        <w:rPr>
          <w:rFonts w:hint="eastAsia" w:asciiTheme="minorEastAsia" w:hAnsiTheme="minorEastAsia" w:cstheme="minorEastAsia"/>
          <w:sz w:val="24"/>
        </w:rPr>
        <w:t>：合同签订后（接到甲方书面通知起</w:t>
      </w:r>
      <w:r>
        <w:rPr>
          <w:rFonts w:hint="eastAsia" w:asciiTheme="minorEastAsia" w:hAnsiTheme="minorEastAsia" w:cstheme="minorEastAsia"/>
          <w:color w:val="auto"/>
          <w:sz w:val="24"/>
        </w:rPr>
        <w:t>）</w:t>
      </w:r>
      <w:r>
        <w:rPr>
          <w:rFonts w:hint="eastAsia" w:asciiTheme="minorEastAsia" w:hAnsiTheme="minorEastAsia" w:cstheme="minorEastAsia"/>
          <w:color w:val="auto"/>
          <w:sz w:val="24"/>
          <w:lang w:val="en-US" w:eastAsia="zh-CN"/>
        </w:rPr>
        <w:t>45天</w:t>
      </w:r>
      <w:r>
        <w:rPr>
          <w:rFonts w:hint="eastAsia" w:asciiTheme="minorEastAsia" w:hAnsiTheme="minorEastAsia" w:cstheme="minorEastAsia"/>
          <w:color w:val="auto"/>
          <w:sz w:val="24"/>
        </w:rPr>
        <w:t>内交货</w:t>
      </w:r>
      <w:r>
        <w:rPr>
          <w:rFonts w:hint="eastAsia" w:asciiTheme="minorEastAsia" w:hAnsiTheme="minorEastAsia" w:cstheme="minorEastAsia"/>
          <w:color w:val="auto"/>
          <w:sz w:val="24"/>
          <w:lang w:val="en-US" w:eastAsia="zh-CN"/>
        </w:rPr>
        <w:t>并且</w:t>
      </w:r>
      <w:r>
        <w:rPr>
          <w:rFonts w:hint="eastAsia" w:asciiTheme="minorEastAsia" w:hAnsiTheme="minorEastAsia" w:cstheme="minorEastAsia"/>
          <w:color w:val="auto"/>
          <w:sz w:val="24"/>
        </w:rPr>
        <w:t>安装调试合格。</w:t>
      </w:r>
    </w:p>
    <w:p w14:paraId="62CD47C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asciiTheme="minorEastAsia" w:hAnsiTheme="minorEastAsia" w:cstheme="minorEastAsia"/>
          <w:color w:val="auto"/>
          <w:sz w:val="24"/>
        </w:rPr>
      </w:pPr>
      <w:r>
        <w:rPr>
          <w:rFonts w:hint="eastAsia" w:asciiTheme="minorEastAsia" w:hAnsiTheme="minorEastAsia" w:cstheme="minorEastAsia"/>
          <w:color w:val="auto"/>
          <w:sz w:val="24"/>
          <w:lang w:val="en-US" w:eastAsia="zh-CN"/>
        </w:rPr>
        <w:t>4.</w:t>
      </w:r>
      <w:r>
        <w:rPr>
          <w:rFonts w:hint="eastAsia" w:asciiTheme="minorEastAsia" w:hAnsiTheme="minorEastAsia" w:cstheme="minorEastAsia"/>
          <w:color w:val="auto"/>
          <w:sz w:val="24"/>
        </w:rPr>
        <w:t>售后服务要求：</w:t>
      </w:r>
      <w:r>
        <w:rPr>
          <w:rFonts w:hint="eastAsia" w:asciiTheme="minorEastAsia" w:hAnsiTheme="minorEastAsia" w:cstheme="minorEastAsia"/>
          <w:color w:val="auto"/>
          <w:sz w:val="24"/>
          <w:lang w:val="en-US" w:eastAsia="zh-CN"/>
        </w:rPr>
        <w:t>整体免费售后服务年限不低于三年。</w:t>
      </w:r>
    </w:p>
    <w:p w14:paraId="1456B8C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asciiTheme="minorEastAsia" w:hAnsiTheme="minorEastAsia" w:cstheme="minorEastAsia"/>
          <w:color w:val="auto"/>
          <w:sz w:val="24"/>
        </w:rPr>
      </w:pPr>
      <w:r>
        <w:rPr>
          <w:rFonts w:hint="eastAsia" w:asciiTheme="minorEastAsia" w:hAnsiTheme="minorEastAsia" w:cstheme="minorEastAsia"/>
          <w:color w:val="auto"/>
          <w:sz w:val="24"/>
          <w:lang w:val="en-US" w:eastAsia="zh-CN"/>
        </w:rPr>
        <w:t>5.</w:t>
      </w:r>
      <w:r>
        <w:rPr>
          <w:rFonts w:hint="eastAsia" w:asciiTheme="minorEastAsia" w:hAnsiTheme="minorEastAsia" w:cstheme="minorEastAsia"/>
          <w:color w:val="auto"/>
          <w:sz w:val="24"/>
        </w:rPr>
        <w:t>报价要求：投标方报价中必须包括所有费用，即采购方不需要再花费额外任何资金，设备安装验收后就能正常工作使用。</w:t>
      </w:r>
    </w:p>
    <w:p w14:paraId="27C1A0A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color w:val="auto"/>
          <w:sz w:val="24"/>
        </w:rPr>
      </w:pPr>
      <w:r>
        <w:rPr>
          <w:rFonts w:hint="eastAsia" w:asciiTheme="minorEastAsia" w:hAnsiTheme="minorEastAsia" w:cstheme="minorEastAsia"/>
          <w:color w:val="auto"/>
          <w:sz w:val="24"/>
          <w:lang w:val="en-US" w:eastAsia="zh-CN"/>
        </w:rPr>
        <w:t>6.</w:t>
      </w:r>
      <w:r>
        <w:rPr>
          <w:rFonts w:hint="eastAsia" w:asciiTheme="minorEastAsia" w:hAnsiTheme="minorEastAsia" w:cstheme="minorEastAsia"/>
          <w:color w:val="auto"/>
          <w:sz w:val="24"/>
        </w:rPr>
        <w:t>付款方式：</w:t>
      </w:r>
    </w:p>
    <w:p w14:paraId="04F13D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rPr>
      </w:pPr>
      <w:r>
        <w:rPr>
          <w:rFonts w:hint="eastAsia" w:asciiTheme="minorEastAsia" w:hAnsiTheme="minorEastAsia" w:cstheme="minorEastAsia"/>
          <w:color w:val="auto"/>
          <w:sz w:val="24"/>
        </w:rPr>
        <w:t>合同签订后</w:t>
      </w:r>
      <w:r>
        <w:rPr>
          <w:rFonts w:hint="eastAsia" w:asciiTheme="minorEastAsia" w:hAnsiTheme="minorEastAsia" w:cstheme="minorEastAsia"/>
          <w:color w:val="auto"/>
          <w:sz w:val="24"/>
          <w:lang w:val="en-US" w:eastAsia="zh-CN"/>
        </w:rPr>
        <w:t>7</w:t>
      </w:r>
      <w:r>
        <w:rPr>
          <w:rFonts w:hint="eastAsia" w:asciiTheme="minorEastAsia" w:hAnsiTheme="minorEastAsia" w:cstheme="minorEastAsia"/>
          <w:color w:val="auto"/>
          <w:sz w:val="24"/>
        </w:rPr>
        <w:t>个工</w:t>
      </w:r>
      <w:r>
        <w:rPr>
          <w:rFonts w:hint="eastAsia" w:asciiTheme="minorEastAsia" w:hAnsiTheme="minorEastAsia" w:eastAsiaTheme="minorEastAsia" w:cstheme="minorEastAsia"/>
          <w:kern w:val="2"/>
          <w:sz w:val="24"/>
          <w:szCs w:val="24"/>
          <w:lang w:val="en-US" w:eastAsia="zh-CN" w:bidi="ar-SA"/>
        </w:rPr>
        <w:t>作日内，甲方支付合同金额30%预付款。项目整体验收合格后20个工作日内，乙方将合同金额的5%付至甲方指定的账号作为项目履约保证金。甲方向乙方一次性支付70%合同金额款，履约保证金验收合格一年期满后一次性无息退还给乙方。甲方凭乙方</w:t>
      </w:r>
      <w:r>
        <w:rPr>
          <w:rFonts w:hint="eastAsia" w:asciiTheme="minorEastAsia" w:hAnsiTheme="minorEastAsia" w:cstheme="minorEastAsia"/>
          <w:sz w:val="24"/>
        </w:rPr>
        <w:t>提供的等额、法定增值税发票，向乙方付款。乙方延期提供发票，则甲方付款时间相应顺延。</w:t>
      </w:r>
    </w:p>
    <w:p w14:paraId="3EB7978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rPr>
      </w:pPr>
      <w:r>
        <w:rPr>
          <w:rFonts w:hint="eastAsia" w:asciiTheme="minorEastAsia" w:hAnsiTheme="minorEastAsia" w:cstheme="minorEastAsia"/>
          <w:sz w:val="24"/>
          <w:lang w:val="en-US" w:eastAsia="zh-CN"/>
        </w:rPr>
        <w:t>7.</w:t>
      </w:r>
      <w:r>
        <w:rPr>
          <w:rFonts w:hint="eastAsia" w:asciiTheme="minorEastAsia" w:hAnsiTheme="minorEastAsia" w:cstheme="minorEastAsia"/>
          <w:sz w:val="24"/>
        </w:rPr>
        <w:t>验收标准、质量保证</w:t>
      </w:r>
    </w:p>
    <w:p w14:paraId="7F020CA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rPr>
      </w:pPr>
      <w:r>
        <w:rPr>
          <w:rFonts w:hint="eastAsia" w:asciiTheme="minorEastAsia" w:hAnsiTheme="minorEastAsia" w:cstheme="minorEastAsia"/>
          <w:sz w:val="24"/>
          <w:lang w:val="en-US" w:eastAsia="zh-CN"/>
        </w:rPr>
        <w:t>7</w:t>
      </w:r>
      <w:r>
        <w:rPr>
          <w:rFonts w:hint="eastAsia" w:asciiTheme="minorEastAsia" w:hAnsiTheme="minorEastAsia" w:cstheme="minorEastAsia"/>
          <w:sz w:val="24"/>
        </w:rPr>
        <w:t>.1投标时，备注所投设备产品出厂时铭牌标注的实际名称。中标方提供的产品应是原装正品，符合国家质量检测标准，具有出厂证明</w:t>
      </w:r>
      <w:r>
        <w:rPr>
          <w:rFonts w:hint="eastAsia" w:asciiTheme="minorEastAsia" w:hAnsiTheme="minorEastAsia" w:cstheme="minorEastAsia"/>
          <w:sz w:val="24"/>
          <w:lang w:val="en-US" w:eastAsia="zh-CN"/>
        </w:rPr>
        <w:t>供货函</w:t>
      </w:r>
      <w:r>
        <w:rPr>
          <w:rFonts w:hint="eastAsia" w:asciiTheme="minorEastAsia" w:hAnsiTheme="minorEastAsia" w:cstheme="minorEastAsia"/>
          <w:sz w:val="24"/>
        </w:rPr>
        <w:t>文件或国家鉴定合格证明文件。</w:t>
      </w:r>
    </w:p>
    <w:p w14:paraId="2822D25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rPr>
      </w:pPr>
      <w:r>
        <w:rPr>
          <w:rFonts w:hint="eastAsia" w:asciiTheme="minorEastAsia" w:hAnsiTheme="minorEastAsia" w:cstheme="minorEastAsia"/>
          <w:sz w:val="24"/>
          <w:lang w:val="en-US" w:eastAsia="zh-CN"/>
        </w:rPr>
        <w:t>7</w:t>
      </w:r>
      <w:r>
        <w:rPr>
          <w:rFonts w:hint="eastAsia" w:asciiTheme="minorEastAsia" w:hAnsiTheme="minorEastAsia" w:cstheme="minorEastAsia"/>
          <w:sz w:val="24"/>
        </w:rPr>
        <w:t>.2验收标准：原厂原包装，包装完好，设备外观无损；满足招标文件</w:t>
      </w:r>
      <w:r>
        <w:rPr>
          <w:rFonts w:hint="eastAsia" w:asciiTheme="minorEastAsia" w:hAnsiTheme="minorEastAsia" w:cstheme="minorEastAsia"/>
          <w:sz w:val="24"/>
          <w:lang w:val="en-US" w:eastAsia="zh-CN"/>
        </w:rPr>
        <w:t>技术</w:t>
      </w:r>
      <w:r>
        <w:rPr>
          <w:rFonts w:hint="eastAsia" w:asciiTheme="minorEastAsia" w:hAnsiTheme="minorEastAsia" w:cstheme="minorEastAsia"/>
          <w:sz w:val="24"/>
        </w:rPr>
        <w:t>要求，符合用户使用的实际需求；设备清单与投标文件一致，技术参数按投标文件对应；实际使用后</w:t>
      </w:r>
      <w:r>
        <w:rPr>
          <w:rFonts w:hint="eastAsia" w:asciiTheme="minorEastAsia" w:hAnsiTheme="minorEastAsia" w:cstheme="minorEastAsia"/>
          <w:sz w:val="24"/>
          <w:lang w:val="en-US" w:eastAsia="zh-CN"/>
        </w:rPr>
        <w:t>需</w:t>
      </w:r>
      <w:r>
        <w:rPr>
          <w:rFonts w:hint="eastAsia" w:asciiTheme="minorEastAsia" w:hAnsiTheme="minorEastAsia" w:cstheme="minorEastAsia"/>
          <w:sz w:val="24"/>
        </w:rPr>
        <w:t>运行稳定。</w:t>
      </w:r>
    </w:p>
    <w:p w14:paraId="643364C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rPr>
      </w:pPr>
      <w:r>
        <w:rPr>
          <w:rFonts w:hint="eastAsia" w:asciiTheme="minorEastAsia" w:hAnsiTheme="minorEastAsia" w:cstheme="minorEastAsia"/>
          <w:sz w:val="24"/>
          <w:lang w:val="en-US" w:eastAsia="zh-CN"/>
        </w:rPr>
        <w:t>7</w:t>
      </w:r>
      <w:r>
        <w:rPr>
          <w:rFonts w:hint="eastAsia" w:asciiTheme="minorEastAsia" w:hAnsiTheme="minorEastAsia" w:cstheme="minorEastAsia"/>
          <w:sz w:val="24"/>
        </w:rPr>
        <w:t>.3项目验收国家有强制性规定的，按国家规定执行。验收过程中产生纠纷的，由质量技术监督部门认定的检测机构检测，如为中标方原因造成的，由中标方承担检测费用；否则，由采购人承担。项目验收不合格，由中标方返工直至合格，有关返工、再行验收，以及给采购人造成的损失等费用由中标方承担。连续两次项目验收不合格的，采购人可终止合同，另行按规定选择其他供应商采购，由此带来的一切损失由中标方承担。</w:t>
      </w:r>
    </w:p>
    <w:p w14:paraId="7A3135B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7.4 投标人需对投标文件的真实性负责，签订合同前需提供招标要求中的检测报告原件给采购方进行核查，核查检测机构的资质检测范围是否包含项目中相关产品进行的检测等等；中标方在中标公示三个工作日内按采购方要求需要演示功能的产品提供到现场核对功能指标参数，如有不满足招标要求的情况或者提供虚假文件，相应后果由中标方自行承担。</w:t>
      </w:r>
    </w:p>
    <w:p w14:paraId="3405FF8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8、售后服务</w:t>
      </w:r>
    </w:p>
    <w:p w14:paraId="42FA328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8.1维护要求：提供定期维护计划、对采购人不定期维护要求的响应措施等。</w:t>
      </w:r>
    </w:p>
    <w:p w14:paraId="3D4EF40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8.2服务响应时间要求：提供7×12小时的技术咨询服务，敏感时期、重大节假日提供技术人员值守服务；提供7×12小时的故障服务受理，对重大故障提供7×24小时的现场支援，一般故障提供5×8小时/2小时内现场支援，提出解决方案，并于2小时内修复，若现场不能修复应提供同等性能备用设备。</w:t>
      </w:r>
    </w:p>
    <w:p w14:paraId="077D6DC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8.3质保期内出现任何质量问题（人为破坏或自然灾害等不可抗力除外），由中标方负责全免费（免全部工时费、材料费、管理费、财务费等）更换或维修。质保期满后，无论采购人是否另行选择维保供应商，中标方应及时优惠价格提供所需的备品备件。</w:t>
      </w:r>
    </w:p>
    <w:p w14:paraId="7403529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8.4同批设备中，若同一台设备类似故障发生三次以上，或者多台设备出现大面积相同故障现象，无条件免费更换涉及的产品。</w:t>
      </w:r>
    </w:p>
    <w:p w14:paraId="4172D14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8.5配件及耗材要求：所有新设备、利旧设备及桌椅安装时除原机配件以外，如还需辅材配件及耗材，由中标方免费提供。</w:t>
      </w:r>
    </w:p>
    <w:p w14:paraId="67D0B06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szCs w:val="21"/>
          <w:highlight w:val="none"/>
        </w:rPr>
      </w:pPr>
      <w:r>
        <w:rPr>
          <w:rFonts w:hint="eastAsia" w:asciiTheme="minorEastAsia" w:hAnsiTheme="minorEastAsia" w:cstheme="minorEastAsia"/>
          <w:sz w:val="24"/>
          <w:lang w:val="en-US" w:eastAsia="zh-CN"/>
        </w:rPr>
        <w:t>8.6必须具备良好的服务能力。服务要求：接到报修，要求维修人员 2 小时以内解决故障。对重大故障提供7×24小时的现场支援，一般故障提供5×8小时/2小时内现场支援。免费提供所有故障设备硬件的更换、维修，免费提供软件维护、升级等技术支持服务。</w:t>
      </w:r>
    </w:p>
    <w:p w14:paraId="27887E1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9、安装调试</w:t>
      </w:r>
    </w:p>
    <w:p w14:paraId="55437BD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9.1 设备安装要求，按照国家相关行业规范标准进行免费安装，符合国家或行业质量检验标准。</w:t>
      </w:r>
    </w:p>
    <w:p w14:paraId="2A510BC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1）中标方负责产品到实施地点的全部运输，包括装卸及现场搬运等，负责新购置和利旧设备（拆卸后待安装）在实施地点的保管，直至项目验收合格，此项目为交钥匙工程，报价包含项目所有费用。中标方并且需要负责其派出的项目实施人员的人身意外保险。</w:t>
      </w:r>
    </w:p>
    <w:p w14:paraId="0BF7959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（2）在安装新设备前，中标方须与用户充分沟通，对旧设备进行规范拆除清运，旧设备搬运至指定地点，需利旧设备按照甲方要求再次安装至指定地点，并免费提供安装调试服务。</w:t>
      </w:r>
    </w:p>
    <w:p w14:paraId="5C8134D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9.2 中标方须在项目实施过程中须加强项目实施的组织管理，所有人员应遵守学校有关规章制度。</w:t>
      </w:r>
    </w:p>
    <w:p w14:paraId="3B9242A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9.3 项目完成后，中标方应将项目有关的全部资料，包括但不限于产品资料、技术文档等移交采购人。</w:t>
      </w:r>
    </w:p>
    <w:p w14:paraId="5202388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10、培训</w:t>
      </w:r>
    </w:p>
    <w:p w14:paraId="11C7F0F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color w:val="000000"/>
          <w:lang w:val="en-US"/>
        </w:rPr>
      </w:pPr>
      <w:r>
        <w:rPr>
          <w:rFonts w:hint="eastAsia" w:asciiTheme="minorEastAsia" w:hAnsiTheme="minorEastAsia" w:cstheme="minorEastAsia"/>
          <w:sz w:val="24"/>
          <w:lang w:val="en-US" w:eastAsia="zh-CN"/>
        </w:rPr>
        <w:t>10.1中标方应负责进行必要的技术人员培训，达到熟练掌握产品性能、操作技能及排除常规故障的程度。</w:t>
      </w:r>
      <w:r>
        <w:rPr>
          <w:rFonts w:hint="eastAsia" w:ascii="等线" w:hAnsi="等线" w:eastAsia="等线" w:cs="Times New Roman"/>
          <w:color w:val="000000"/>
          <w:kern w:val="2"/>
          <w:sz w:val="22"/>
          <w:szCs w:val="24"/>
          <w:lang w:val="en-US" w:eastAsia="zh-CN" w:bidi="ar"/>
        </w:rPr>
        <w:t xml:space="preserve"> </w:t>
      </w:r>
    </w:p>
    <w:p w14:paraId="14B6152F">
      <w:pPr>
        <w:tabs>
          <w:tab w:val="left" w:pos="965"/>
        </w:tabs>
        <w:bidi w:val="0"/>
        <w:jc w:val="left"/>
        <w:rPr>
          <w:rFonts w:hint="eastAsia" w:eastAsia="宋体"/>
          <w:lang w:eastAsia="zh-CN"/>
        </w:rPr>
      </w:pPr>
    </w:p>
    <w:p w14:paraId="017188E8">
      <w:pPr>
        <w:shd w:val="clear" w:color="auto" w:fill="FFFFFF"/>
        <w:spacing w:line="360" w:lineRule="auto"/>
        <w:jc w:val="left"/>
        <w:rPr>
          <w:rFonts w:hint="default" w:ascii="Times New Roman" w:hAnsi="Times New Roman" w:eastAsia="宋体" w:cs="Times New Roman"/>
          <w:szCs w:val="21"/>
          <w:highlight w:val="none"/>
          <w:lang w:val="en-US" w:eastAsia="zh-CN"/>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9C51E">
    <w:pPr>
      <w:widowControl w:val="0"/>
      <w:snapToGrid w:val="0"/>
      <w:jc w:val="left"/>
      <w:rPr>
        <w:rFonts w:ascii="Times New Roman" w:hAnsi="Times New Roman" w:eastAsia="宋体" w:cs="Times New Roman"/>
        <w:kern w:val="0"/>
        <w:sz w:val="18"/>
        <w:szCs w:val="18"/>
        <w:lang w:val="en-US" w:eastAsia="zh-CN" w:bidi="ar-SA"/>
      </w:rPr>
    </w:pPr>
    <w:r>
      <w:rPr>
        <w:rFonts w:ascii="Times New Roman" w:hAnsi="Times New Roman" w:eastAsia="宋体" w:cs="Times New Roman"/>
        <w:kern w:val="0"/>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BD3F85">
                          <w:pPr>
                            <w:snapToGrid w:val="0"/>
                            <w:rPr>
                              <w:rFonts w:hint="eastAsia" w:ascii="宋体" w:hAnsi="宋体" w:eastAsia="宋体" w:cs="Times New Roman"/>
                              <w:szCs w:val="21"/>
                            </w:rPr>
                          </w:pPr>
                          <w:r>
                            <w:rPr>
                              <w:rFonts w:hint="eastAsia" w:ascii="宋体" w:hAnsi="宋体" w:eastAsia="宋体" w:cs="Times New Roman"/>
                              <w:szCs w:val="21"/>
                            </w:rPr>
                            <w:fldChar w:fldCharType="begin"/>
                          </w:r>
                          <w:r>
                            <w:rPr>
                              <w:rFonts w:hint="eastAsia" w:ascii="宋体" w:hAnsi="宋体" w:eastAsia="宋体" w:cs="Times New Roman"/>
                              <w:szCs w:val="21"/>
                            </w:rPr>
                            <w:instrText xml:space="preserve"> PAGE  \* MERGEFORMAT </w:instrText>
                          </w:r>
                          <w:r>
                            <w:rPr>
                              <w:rFonts w:hint="eastAsia" w:ascii="宋体" w:hAnsi="宋体" w:eastAsia="宋体" w:cs="Times New Roman"/>
                              <w:szCs w:val="21"/>
                            </w:rPr>
                            <w:fldChar w:fldCharType="separate"/>
                          </w:r>
                          <w:r>
                            <w:rPr>
                              <w:rFonts w:ascii="宋体" w:hAnsi="宋体" w:eastAsia="宋体" w:cs="Times New Roman"/>
                              <w:szCs w:val="21"/>
                            </w:rPr>
                            <w:t>7</w:t>
                          </w:r>
                          <w:r>
                            <w:rPr>
                              <w:rFonts w:hint="eastAsia" w:ascii="宋体" w:hAnsi="宋体" w:eastAsia="宋体" w:cs="Times New Roman"/>
                              <w:szCs w:val="21"/>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19BD3F85">
                    <w:pPr>
                      <w:snapToGrid w:val="0"/>
                      <w:rPr>
                        <w:rFonts w:hint="eastAsia" w:ascii="宋体" w:hAnsi="宋体" w:eastAsia="宋体" w:cs="Times New Roman"/>
                        <w:szCs w:val="21"/>
                      </w:rPr>
                    </w:pPr>
                    <w:r>
                      <w:rPr>
                        <w:rFonts w:hint="eastAsia" w:ascii="宋体" w:hAnsi="宋体" w:eastAsia="宋体" w:cs="Times New Roman"/>
                        <w:szCs w:val="21"/>
                      </w:rPr>
                      <w:fldChar w:fldCharType="begin"/>
                    </w:r>
                    <w:r>
                      <w:rPr>
                        <w:rFonts w:hint="eastAsia" w:ascii="宋体" w:hAnsi="宋体" w:eastAsia="宋体" w:cs="Times New Roman"/>
                        <w:szCs w:val="21"/>
                      </w:rPr>
                      <w:instrText xml:space="preserve"> PAGE  \* MERGEFORMAT </w:instrText>
                    </w:r>
                    <w:r>
                      <w:rPr>
                        <w:rFonts w:hint="eastAsia" w:ascii="宋体" w:hAnsi="宋体" w:eastAsia="宋体" w:cs="Times New Roman"/>
                        <w:szCs w:val="21"/>
                      </w:rPr>
                      <w:fldChar w:fldCharType="separate"/>
                    </w:r>
                    <w:r>
                      <w:rPr>
                        <w:rFonts w:ascii="宋体" w:hAnsi="宋体" w:eastAsia="宋体" w:cs="Times New Roman"/>
                        <w:szCs w:val="21"/>
                      </w:rPr>
                      <w:t>7</w:t>
                    </w:r>
                    <w:r>
                      <w:rPr>
                        <w:rFonts w:hint="eastAsia" w:ascii="宋体" w:hAnsi="宋体" w:eastAsia="宋体" w:cs="Times New Roman"/>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AB88C">
    <w:pPr>
      <w:widowControl w:val="0"/>
      <w:pBdr>
        <w:bottom w:val="none" w:color="auto" w:sz="0" w:space="0"/>
      </w:pBdr>
      <w:snapToGrid w:val="0"/>
      <w:jc w:val="center"/>
      <w:rPr>
        <w:rFonts w:ascii="Times New Roman" w:hAnsi="Times New Roman" w:eastAsia="宋体" w:cs="Times New Roman"/>
        <w:kern w:val="0"/>
        <w:sz w:val="18"/>
        <w:szCs w:val="18"/>
        <w:lang w:val="en-US" w:eastAsia="zh-CN" w:bidi="ar-S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373628"/>
    <w:rsid w:val="06555D37"/>
    <w:rsid w:val="11133DB5"/>
    <w:rsid w:val="16BE2C16"/>
    <w:rsid w:val="191957B7"/>
    <w:rsid w:val="25BD78D0"/>
    <w:rsid w:val="25ED7A1B"/>
    <w:rsid w:val="28D10507"/>
    <w:rsid w:val="2CB462A7"/>
    <w:rsid w:val="3D07322A"/>
    <w:rsid w:val="416952E3"/>
    <w:rsid w:val="442E7EB9"/>
    <w:rsid w:val="49F744FE"/>
    <w:rsid w:val="65270184"/>
    <w:rsid w:val="737F4ED8"/>
    <w:rsid w:val="7BCF49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8"/>
    <w:qFormat/>
    <w:uiPriority w:val="0"/>
    <w:pPr>
      <w:keepNext/>
      <w:jc w:val="center"/>
      <w:outlineLvl w:val="0"/>
    </w:pPr>
    <w:rPr>
      <w:b/>
      <w:bCs/>
      <w:sz w:val="24"/>
      <w:szCs w:val="20"/>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qFormat/>
    <w:uiPriority w:val="0"/>
    <w:pPr>
      <w:spacing w:after="120"/>
      <w:jc w:val="center"/>
    </w:pPr>
    <w:rPr>
      <w:b/>
      <w:sz w:val="72"/>
    </w:rPr>
  </w:style>
  <w:style w:type="paragraph" w:styleId="5">
    <w:name w:val="footer"/>
    <w:basedOn w:val="1"/>
    <w:qFormat/>
    <w:uiPriority w:val="99"/>
    <w:pPr>
      <w:tabs>
        <w:tab w:val="center" w:pos="4153"/>
        <w:tab w:val="right" w:pos="8306"/>
      </w:tabs>
      <w:snapToGrid w:val="0"/>
      <w:jc w:val="left"/>
    </w:pPr>
    <w:rPr>
      <w:sz w:val="18"/>
      <w:szCs w:val="18"/>
    </w:rPr>
  </w:style>
  <w:style w:type="character" w:customStyle="1" w:styleId="8">
    <w:name w:val="标题 1 Char"/>
    <w:link w:val="2"/>
    <w:qFormat/>
    <w:uiPriority w:val="0"/>
    <w:rPr>
      <w:b/>
      <w:bCs/>
      <w:sz w:val="24"/>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1745</Words>
  <Characters>1800</Characters>
  <Lines>0</Lines>
  <Paragraphs>0</Paragraphs>
  <TotalTime>1</TotalTime>
  <ScaleCrop>false</ScaleCrop>
  <LinksUpToDate>false</LinksUpToDate>
  <CharactersWithSpaces>1807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2025-09-29T15:46:00Z</dcterms:created>
  <dc:creator>adver</dc:creator>
  <cp:lastModifiedBy>段池</cp:lastModifiedBy>
  <dcterms:modified xsi:type="dcterms:W3CDTF">2025-10-23T03:20:22Z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eyJoZGlkIjoiMmVkMDYxNzg5YmJlZTUyODViYzkzNjVhMDVhMDUzYTYiLCJ1c2VySWQiOiIxNjg1MTkxNzc3In0=</vt:lpwstr>
  </property>
  <property fmtid="{D5CDD505-2E9C-101B-9397-08002B2CF9AE}" pid="4" name="ICV">
    <vt:lpwstr>E35EDE0055E6404588586080FFB23458_13</vt:lpwstr>
  </property>
</Properties>
</file>