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1520"/>
        <w:gridCol w:w="6540"/>
      </w:tblGrid>
      <w:tr w14:paraId="01E35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0" w:type="dxa"/>
            <w:vMerge w:val="restart"/>
            <w:vAlign w:val="center"/>
          </w:tcPr>
          <w:p w14:paraId="284C72CF">
            <w:pPr>
              <w:keepNext w:val="0"/>
              <w:keepLines w:val="0"/>
              <w:suppressLineNumbers w:val="0"/>
              <w:spacing w:before="0" w:beforeAutospacing="0" w:after="0" w:afterAutospacing="0"/>
              <w:ind w:left="0" w:righ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核心技术参数</w:t>
            </w:r>
          </w:p>
        </w:tc>
        <w:tc>
          <w:tcPr>
            <w:tcW w:w="1520" w:type="dxa"/>
            <w:vAlign w:val="center"/>
          </w:tcPr>
          <w:p w14:paraId="4E2C3920">
            <w:pPr>
              <w:keepNext w:val="0"/>
              <w:keepLines w:val="0"/>
              <w:suppressLineNumbers w:val="0"/>
              <w:spacing w:before="0" w:beforeAutospacing="0" w:after="0" w:afterAutospacing="0"/>
              <w:ind w:left="0" w:leftChars="0" w:right="0" w:firstLine="0" w:firstLineChars="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近红外瞬态吸收显微系统</w:t>
            </w:r>
          </w:p>
          <w:p w14:paraId="0F97C46E">
            <w:pPr>
              <w:keepNext w:val="0"/>
              <w:keepLines w:val="0"/>
              <w:suppressLineNumbers w:val="0"/>
              <w:spacing w:before="0" w:beforeAutospacing="0" w:after="0" w:afterAutospacing="0"/>
              <w:ind w:left="0" w:right="0"/>
              <w:rPr>
                <w:rFonts w:hint="eastAsia" w:ascii="宋体" w:hAnsi="宋体" w:eastAsia="宋体" w:cs="宋体"/>
                <w:color w:val="000000" w:themeColor="text1"/>
                <w:sz w:val="28"/>
                <w:szCs w:val="28"/>
                <w14:textFill>
                  <w14:solidFill>
                    <w14:schemeClr w14:val="tx1"/>
                  </w14:solidFill>
                </w14:textFill>
              </w:rPr>
            </w:pPr>
          </w:p>
        </w:tc>
        <w:tc>
          <w:tcPr>
            <w:tcW w:w="6540" w:type="dxa"/>
            <w:vAlign w:val="center"/>
          </w:tcPr>
          <w:p w14:paraId="147B152F">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1.近红外瞬态吸收显微系统</w:t>
            </w:r>
          </w:p>
          <w:p w14:paraId="645C92B1">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 1 宽场与共聚焦两种显微成像模式，均支持反射和透射测量</w:t>
            </w:r>
          </w:p>
          <w:p w14:paraId="26CED36A">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 2 宽场泵浦光与探测光经过匀场装置，样品测量范围内光强波动≤25%。</w:t>
            </w:r>
          </w:p>
          <w:p w14:paraId="4C9EDB0F">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1.3 用于共聚焦模式的近红外探测白光范围：825-1600nm。</w:t>
            </w:r>
          </w:p>
          <w:p w14:paraId="5B003681">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1.4 泵浦光路与单色探测光路中具有孔径为≤25微米的空间滤波器。</w:t>
            </w:r>
          </w:p>
          <w:p w14:paraId="4801602C">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1.5 共聚焦近红外与可见探测模式自由切换。</w:t>
            </w:r>
          </w:p>
          <w:p w14:paraId="5191DDDF">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1.6 包含近红外二向色镜和近红外分光片用于合并泵浦光与探测光。</w:t>
            </w:r>
          </w:p>
          <w:p w14:paraId="373F5A7C">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1.7 包含6片客户指定的长波通或短波通滤光片。</w:t>
            </w:r>
          </w:p>
          <w:p w14:paraId="1CB2727A">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t xml:space="preserve">1.8 </w:t>
            </w:r>
            <w:r>
              <w:rPr>
                <w:rFonts w:hint="eastAsia" w:ascii="宋体" w:hAnsi="宋体" w:eastAsia="宋体" w:cs="宋体"/>
                <w:color w:val="000000" w:themeColor="text1"/>
                <w:highlight w:val="none"/>
                <w:lang w:eastAsia="zh-CN"/>
                <w14:textFill>
                  <w14:solidFill>
                    <w14:schemeClr w14:val="tx1"/>
                  </w14:solidFill>
                </w14:textFill>
              </w:rPr>
              <w:t>高速可见单色成像相机：</w:t>
            </w:r>
          </w:p>
          <w:p w14:paraId="5693E17B">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1.8.1.≥ 640 × 480 像素分辨率</w:t>
            </w:r>
          </w:p>
          <w:p w14:paraId="43CCFDED">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1.8.2. ≥1000 Hz 成像速度 （12比特），10 GigE 传输协议，≥72 dB 动态响应范围</w:t>
            </w:r>
          </w:p>
          <w:p w14:paraId="1053300D">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1.8.3. ≥9微米× 9微米 像素</w:t>
            </w:r>
          </w:p>
          <w:p w14:paraId="1DA23452">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1.8.4. 工作波长 400 - 800nm</w:t>
            </w:r>
          </w:p>
          <w:p w14:paraId="6500C955">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1.9 高速近红外单色成像相机：</w:t>
            </w:r>
          </w:p>
          <w:p w14:paraId="014D1E90">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1.9.1. ≥656 × 520 像素分辨率</w:t>
            </w:r>
          </w:p>
          <w:p w14:paraId="668B35A6">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1.9.2. ≥237Hz成像速度 （8 比特），1 GigE传输协议，≥ 57 dB 动态响应范围</w:t>
            </w:r>
          </w:p>
          <w:p w14:paraId="663A5232">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1.9.3. ≥5微米×5微米像素</w:t>
            </w:r>
          </w:p>
          <w:p w14:paraId="0DED5DE7">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1.9.4. 工作波长400-1700nm</w:t>
            </w:r>
          </w:p>
          <w:p w14:paraId="725C91CC">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1.9.5. ≤5摄氏度水冷</w:t>
            </w:r>
          </w:p>
          <w:p w14:paraId="5DA55382">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1.10. 物镜组</w:t>
            </w:r>
          </w:p>
          <w:p w14:paraId="769E50B5">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1.10.1. 50倍长工作距离平场复消色差物镜，数量：2，放大倍率：50×，数值孔径：≥0.42 NA，工作距离：≥17mm，波长范围：480nm-1800nm</w:t>
            </w:r>
          </w:p>
          <w:p w14:paraId="6700956A">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1.10.2. 100倍长工作距离平场复消色差物镜，数量：2，放大倍率：100×，数值孔径：≥0.50 NA，工作距离：≥12mm，波长范围：480nm-1800nm</w:t>
            </w:r>
          </w:p>
          <w:p w14:paraId="254D992E">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1.11. 快速扫描：扫描8ns采集≥275个数据点，耗时≤40s（积分时间0.1秒）</w:t>
            </w:r>
          </w:p>
          <w:p w14:paraId="553D8F8B">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1.12. 低温恒温器</w:t>
            </w:r>
          </w:p>
          <w:p w14:paraId="322FF92F">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1.12.1. 温度范围：2.3 - 500 K</w:t>
            </w:r>
          </w:p>
          <w:p w14:paraId="10905AE4">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1.12.2. 冷却方式：液氦或液氮，连续流制冷</w:t>
            </w:r>
          </w:p>
          <w:p w14:paraId="768344EA">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1.12.3. 样品环境：真空</w:t>
            </w:r>
          </w:p>
          <w:p w14:paraId="20A6184F">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1.12.4. 温度稳定性：±0.1 K</w:t>
            </w:r>
          </w:p>
          <w:p w14:paraId="58529430">
            <w:pPr>
              <w:keepNext w:val="0"/>
              <w:keepLines w:val="0"/>
              <w:widowControl w:val="0"/>
              <w:suppressLineNumbers w:val="0"/>
              <w:spacing w:before="0" w:beforeAutospacing="0" w:after="0" w:afterAutospacing="0"/>
              <w:ind w:left="420" w:right="0" w:hanging="420" w:hangingChars="200"/>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1.12.5. 室温降至4.2K时间：≤15min</w:t>
            </w:r>
          </w:p>
          <w:p w14:paraId="53B87F03">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
                <w14:textFill>
                  <w14:solidFill>
                    <w14:schemeClr w14:val="tx1"/>
                  </w14:solidFill>
                </w14:textFill>
              </w:rPr>
              <w:t>1.12.6. 配置高性能真空泵</w:t>
            </w:r>
          </w:p>
        </w:tc>
      </w:tr>
      <w:tr w14:paraId="5A9B9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460" w:type="dxa"/>
            <w:vMerge w:val="continue"/>
            <w:vAlign w:val="center"/>
          </w:tcPr>
          <w:p w14:paraId="04EA103A">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p>
        </w:tc>
        <w:tc>
          <w:tcPr>
            <w:tcW w:w="1520" w:type="dxa"/>
            <w:vAlign w:val="center"/>
          </w:tcPr>
          <w:p w14:paraId="227D2EB4">
            <w:pPr>
              <w:keepNext w:val="0"/>
              <w:keepLines w:val="0"/>
              <w:suppressLineNumbers w:val="0"/>
              <w:spacing w:before="0" w:beforeAutospacing="0" w:after="0" w:afterAutospacing="0"/>
              <w:ind w:left="0" w:righ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近红外光学性能数据分析和模拟系统</w:t>
            </w:r>
          </w:p>
        </w:tc>
        <w:tc>
          <w:tcPr>
            <w:tcW w:w="6540" w:type="dxa"/>
            <w:vAlign w:val="center"/>
          </w:tcPr>
          <w:p w14:paraId="22BC5F45">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2．近红外光学性能数据分析和模拟系统</w:t>
            </w:r>
          </w:p>
          <w:p w14:paraId="2F9FA49F">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 计算节点</w:t>
            </w:r>
          </w:p>
          <w:p w14:paraId="1A7B3757">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2.1.1. 计算核心：配置2颗处理器，每颗CPU核心数≥52核心，主频不低于2.1GHz，支持AVX512及AVX 512 VNNI指令集；</w:t>
            </w:r>
          </w:p>
          <w:p w14:paraId="0406B457">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2.1.2. 内存：配置总容量≥256GB DDR5 4800MHz ECC RDIMM内存；</w:t>
            </w:r>
          </w:p>
          <w:p w14:paraId="104115C5">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2.1.3. 系统硬盘：配置1块SATA SSD硬盘，硬盘容量≥480GB，平台支持≥12个3.5寸盘位，兼容2.5寸盘位；</w:t>
            </w:r>
          </w:p>
          <w:p w14:paraId="2BECE7D5">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2.1.4. 电源：配置电源功率≥1200W； </w:t>
            </w:r>
          </w:p>
          <w:p w14:paraId="3A8691DF">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2.1.5. 网口：配置≥1个千兆网口，≥1个100GB 计算网口；</w:t>
            </w:r>
          </w:p>
          <w:p w14:paraId="5796FA64">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2.1.6. 管理：集成BMC管理芯片，含管理系统；</w:t>
            </w:r>
          </w:p>
          <w:p w14:paraId="5610BB1F">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2.1.7.  PCIE接口：不低于5个PCIE 5.0扩展接口；</w:t>
            </w:r>
          </w:p>
          <w:p w14:paraId="5AE78A92">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2.1.8. 数量：15台。</w:t>
            </w:r>
          </w:p>
          <w:p w14:paraId="7FBBFBF8">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 管理节点：</w:t>
            </w:r>
          </w:p>
          <w:p w14:paraId="69BE5FBD">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2.2.1.计算核心：配置2颗处理器，每颗CPU核心数≥12核心，主频不低于2.1GHz，三级缓存≥18MB，支持AVX512指令集；</w:t>
            </w:r>
          </w:p>
          <w:p w14:paraId="476BBF3C">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2.2.2.内存：配置总容量≥128GB DDR4 3200MHz ECC RDIMM内存，平台支持≥16个内存插槽；</w:t>
            </w:r>
          </w:p>
          <w:p w14:paraId="0B943804">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2.2.3.系统硬盘：配置2块SATA企业级SSD硬盘，单块硬盘容量≥1.92TB；</w:t>
            </w:r>
          </w:p>
          <w:p w14:paraId="5035B56A">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2.2.4.电源：配置冗余（1+1）80Plus电源模组，单个电源功率≥1300W； </w:t>
            </w:r>
          </w:p>
          <w:p w14:paraId="377D73AF">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2.2.5.网口：≥1口千兆网口,1个FC网口；</w:t>
            </w:r>
          </w:p>
          <w:p w14:paraId="0C8F9729">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2.2.6.显卡：配置1块NVDIA RTXA2000专业图形卡，单卡显存12GB；</w:t>
            </w:r>
          </w:p>
          <w:p w14:paraId="62CBC1AF">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2.2.7.阵列卡：配置阵列卡，支持raid0,1,5,10等多种raid组合，提升存储性能；</w:t>
            </w:r>
          </w:p>
          <w:p w14:paraId="3DD250DC">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2.2.8.管理：集成BMC管理芯片，含管理系统；</w:t>
            </w:r>
          </w:p>
          <w:p w14:paraId="4874CC2E">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2.2.9.运行环境及软件功能模块： </w:t>
            </w:r>
          </w:p>
          <w:p w14:paraId="43C9ECC2">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2.2.9.1．作业调度模块：包含计算资源监控和调度功能。满足本次招标服务器管理许可；提供先来先服务、优先级抢占、公平共享、节点资源独占等多种调度策略；具备用户组、机器组的管理策略；可以针对队列、用户进行资源使用限制；支持自定义类型的资源类型的调度和管理功能。支持Linux操作系统环境的统一调度及管理。要求提供国家版权局版发颁发的软件著作权证书；需要提供有效证明材料包括软件界面截图或第三方评测机构出具的检测报告；</w:t>
            </w:r>
          </w:p>
          <w:p w14:paraId="348CA578">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2.2.9.2．应用门户模块：须满足用户Windows/Linux等用户端操作系统环境可以在不安装任何操作系统和浏览器插件的情况下，访问和使用机房中的应用主机上办公应用及计算资源。应用主机操作系统可以是Linux环境。需要提供有效证明材料包括软件界面截图；</w:t>
            </w:r>
          </w:p>
          <w:p w14:paraId="12B4C204">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2.2.9.3．账户管理：门户管理员，可以在线增加、锁定、删除访问平台的用户。包含集群中的Linux操作系统节点；</w:t>
            </w:r>
          </w:p>
          <w:p w14:paraId="3B83C9A0">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2.2.9.4．资源信息：主机的全局资源总览。包含CPU核数、GPU个数、内存及硬盘容量大小；节点的资源信息，包含主机名称、主机状态、CPU核心数、内存大小、硬盘大小等信息，采用仪表盘形式，能实时显示对应应用的可用CPU和内存资源信息和用户的存储空间占用情况等信息；</w:t>
            </w:r>
          </w:p>
          <w:p w14:paraId="49DAE57A">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2.2.9.5．作业管理功能：用户能在线查看作业详情、实时输出信息；管理员能查看平台中的所有计算任务，在线对任务进行暂停、终止、置顶、置底等控制操作；支持查看作业排队号信息；</w:t>
            </w:r>
          </w:p>
          <w:p w14:paraId="6DA257CD">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2.2.9.6．报表功能：平台最少提供集群可用性、CPU使用率、swap空间使用率、内存使用率、作业CPU使用量。需要提供有效证明材料包括软件界面截图或第三方评测机构出具的检测报</w:t>
            </w:r>
          </w:p>
          <w:p w14:paraId="080F558D">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2.2.9.7．专业软件集成：集成部署Lammps，Quantum ESPRESSO，CP2K等多种材料领域的全尺度模拟程序，需要提供软件编译，优化及长期的运维支持能力，具备配置科研计算环境能力，如编译器、MPI库、数学库FFTW/BLAS/LAPACK、各种科研插件工具集成等。</w:t>
            </w:r>
          </w:p>
          <w:p w14:paraId="4F51C249">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2.2.10. UPS：配置1台UPS，内置电池，3KVA/2400W规格；</w:t>
            </w:r>
          </w:p>
          <w:p w14:paraId="0E974FFA">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2.2.11.数量：1台。                                                            </w:t>
            </w:r>
          </w:p>
          <w:p w14:paraId="5DE3DB0C">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2.3. 存储节点： </w:t>
            </w:r>
          </w:p>
          <w:p w14:paraId="0957422A">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2.3.1.机型： 2U12盘位标准机架式设备，盘控一体；</w:t>
            </w:r>
          </w:p>
          <w:p w14:paraId="739200D3">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2.3.2.控制器：标配≥2个控制器，可扩展到≥16控，双热插拔电源；</w:t>
            </w:r>
          </w:p>
          <w:p w14:paraId="43368800">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2.3.3.系统缓存：双控配置≥256GB高速缓存（纯硬件缓存，非SSD、非高速Flash充当缓存或者非PC服务器内存）；</w:t>
            </w:r>
          </w:p>
          <w:p w14:paraId="1E0C50D4">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2.3.4.主机接口：每控≥3个I/O接口槽，配置≥8个千兆电口和≥4个16Gb主机接口；</w:t>
            </w:r>
          </w:p>
          <w:p w14:paraId="59858CE9">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2.3.5.硬盘：支持SSD、SAS、NL_SAS硬盘，双控最大支持1300块及以上硬盘（提供官网截图并加盖投标人公章），本次整机配置≥6块960GB SSD及≥6个10TB NLSAS硬盘。</w:t>
            </w:r>
          </w:p>
          <w:p w14:paraId="737BB3D0">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2.3.6.功能授权：配置自动精简、快照、克隆、卷备份、卷镜像、QoS、自动分层等功能授权；</w:t>
            </w:r>
          </w:p>
          <w:p w14:paraId="6BAE255A">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2.3.7.提供智能云分层功能，可实现本地数据中心和公有云之间的数据流动；</w:t>
            </w:r>
          </w:p>
          <w:p w14:paraId="12DBD207">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2.3.8.配置BBU电池保护模组，支持≥2次备电，保证掉电时Cache数据可安全写入Flash或硬盘永久保存；</w:t>
            </w:r>
          </w:p>
          <w:p w14:paraId="1615126A">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2.3.9.支持 SSD 智能缓存加速功能，支持单块硬盘为缓存加速的 SSD 盘（提供经 CNAS 认可的机构出具的检验检测报告复印件）;</w:t>
            </w:r>
          </w:p>
          <w:p w14:paraId="41702501">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2.3.10.支持第三方存储卷接入并划分卷（提供经 CNAS 认可的机构出具的检验检测报告复印件）;</w:t>
            </w:r>
          </w:p>
          <w:p w14:paraId="06486F8F">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2.3.11.性能：集群状态下IOPS≥270万（提供相关官方性能测试报告结果复印件）；</w:t>
            </w:r>
          </w:p>
          <w:p w14:paraId="23EC6C69">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2.3.12.售后：提供3年免费整机质保，中标后需提供售后服务承诺函；</w:t>
            </w:r>
          </w:p>
          <w:p w14:paraId="4007B91C">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2.3.13.数量：1台。</w:t>
            </w:r>
          </w:p>
          <w:p w14:paraId="03552D29">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2.4. 网络交换机：</w:t>
            </w:r>
          </w:p>
          <w:p w14:paraId="75B22408">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2.4.1.配置1台千兆交换机，具备≥24个千兆电口 ≥4个万兆光口，并提供平台建设所有辅材；</w:t>
            </w:r>
          </w:p>
          <w:p w14:paraId="4E1D3235">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2.4.2.配置1台IB交换机，可以提供≥36个100Gb/s端口,具备全双向带宽，并提供平台建设所有辅材；</w:t>
            </w:r>
          </w:p>
          <w:p w14:paraId="511BEA01">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2.5 精密空调：</w:t>
            </w:r>
          </w:p>
          <w:p w14:paraId="36ECFE88">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2.5.1.总冷量：≥30KW，风量：≥8600m</w:t>
            </w:r>
            <w:r>
              <w:rPr>
                <w:rFonts w:hint="eastAsia" w:ascii="宋体" w:hAnsi="宋体" w:eastAsia="宋体" w:cs="宋体"/>
                <w:color w:val="000000" w:themeColor="text1"/>
                <w:vertAlign w:val="superscript"/>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/h 加热量≥6kW 加湿≥5kg/h，数量1套；</w:t>
            </w:r>
          </w:p>
          <w:p w14:paraId="3CED7CE6">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2.5.2.高显热比、高能效的制冷系统设计，采用涡旋压缩机，专门针对高效能需求进行调校制冷剂采用R410A不接受其他非环保型冷媒；</w:t>
            </w:r>
          </w:p>
          <w:p w14:paraId="7DDD670E">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2.5.3.加湿器形式 机组应采用不受水质影响的远红外型加湿器，要求加湿速度快，确保高效性；所选用加湿器需可以在应用场地现场进行清理，支持反复应用；</w:t>
            </w:r>
          </w:p>
          <w:p w14:paraId="31C78CAE">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2.5.4.室外机风机无极全调速控制，提供变频调速证明；</w:t>
            </w:r>
          </w:p>
          <w:p w14:paraId="4F6CCE25">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2.5.5.具备来电自启动功能，并可设置延时启动时间；</w:t>
            </w:r>
          </w:p>
          <w:p w14:paraId="23A48C0E">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2.5.6.精密空调需具备净化功能提供相关证书；</w:t>
            </w:r>
          </w:p>
        </w:tc>
      </w:tr>
      <w:tr w14:paraId="3E39F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460" w:type="dxa"/>
            <w:vMerge w:val="continue"/>
            <w:vAlign w:val="center"/>
          </w:tcPr>
          <w:p w14:paraId="1A268120">
            <w:pPr>
              <w:keepNext w:val="0"/>
              <w:keepLines w:val="0"/>
              <w:suppressLineNumbers w:val="0"/>
              <w:spacing w:before="0" w:beforeAutospacing="0" w:after="0" w:afterAutospacing="0"/>
              <w:ind w:left="0" w:right="0"/>
              <w:rPr>
                <w:rFonts w:hint="eastAsia" w:ascii="宋体" w:hAnsi="宋体" w:eastAsia="宋体" w:cs="宋体"/>
                <w:color w:val="000000" w:themeColor="text1"/>
                <w14:textFill>
                  <w14:solidFill>
                    <w14:schemeClr w14:val="tx1"/>
                  </w14:solidFill>
                </w14:textFill>
              </w:rPr>
            </w:pPr>
          </w:p>
        </w:tc>
        <w:tc>
          <w:tcPr>
            <w:tcW w:w="1520" w:type="dxa"/>
            <w:vAlign w:val="center"/>
          </w:tcPr>
          <w:p w14:paraId="52347174">
            <w:pPr>
              <w:keepNext w:val="0"/>
              <w:keepLines w:val="0"/>
              <w:suppressLineNumbers w:val="0"/>
              <w:spacing w:before="0" w:beforeAutospacing="0" w:after="0" w:afterAutospacing="0"/>
              <w:ind w:left="0" w:righ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紫外可见近红外分光光度计</w:t>
            </w:r>
          </w:p>
        </w:tc>
        <w:tc>
          <w:tcPr>
            <w:tcW w:w="6540" w:type="dxa"/>
            <w:vAlign w:val="center"/>
          </w:tcPr>
          <w:p w14:paraId="26FEDD66">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 紫外可见近红外分光光度计</w:t>
            </w:r>
          </w:p>
          <w:p w14:paraId="6682B479">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 分光系统：</w:t>
            </w:r>
          </w:p>
          <w:p w14:paraId="67FF489D">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 光学系统：双光束；</w:t>
            </w:r>
          </w:p>
          <w:p w14:paraId="1E4AC8E1">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3.1.2 分光器：≥2片×2片光栅式双单色器。预置单色器：凹面衍射光栅分光器，主单色器：象差校正型切尼尔一特纳分光器；</w:t>
            </w:r>
          </w:p>
          <w:p w14:paraId="63DFB340">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3.1.3 测定波长范围：≥185~3300nm；</w:t>
            </w:r>
          </w:p>
          <w:p w14:paraId="0373344A">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3.1.4 波长准确性：紫外、可见区：≤0.2，近红外区：≤0.8；</w:t>
            </w:r>
          </w:p>
          <w:p w14:paraId="35BED7C8">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3.1.5 波长重复精度：紫外、可见区：≤0.08nm以内，近红外区：≤0.32nm以内；</w:t>
            </w:r>
          </w:p>
          <w:p w14:paraId="65BCE636">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3.1.6 波长扫描速度：波长移动速度：紫外、可见区：≥18000nm/min，近红外区：</w:t>
            </w:r>
            <w:r>
              <w:rPr>
                <w:rFonts w:hint="eastAsia" w:ascii="宋体" w:hAnsi="宋体" w:eastAsia="宋体" w:cs="宋体"/>
                <w:bCs/>
                <w:color w:val="000000" w:themeColor="text1"/>
                <w:highlight w:val="none"/>
                <w14:textFill>
                  <w14:solidFill>
                    <w14:schemeClr w14:val="tx1"/>
                  </w14:solidFill>
                </w14:textFill>
              </w:rPr>
              <w:t>≥70000nm/min；波长扫描速度：紫外、可见区：≥4500nm/min，近红外PMT/InGaAs区：≥9000nm/min，近红外PbS区：≥4000nm/min（各种切换所需时间除外）；</w:t>
            </w:r>
          </w:p>
          <w:p w14:paraId="14CD4B54">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3.1.7 波长采样间隔：≤0.01～5nm范围；</w:t>
            </w:r>
          </w:p>
          <w:p w14:paraId="42595BD2">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3.1.8 光源切换波长：和波长同步自动切换282.0~393.0 nm（0.1nm单位）</w:t>
            </w:r>
          </w:p>
          <w:p w14:paraId="673334CE">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3.1.9 谱带宽度：紫外、可见区：0.1/ 0.2/ 0.5/ 1/ 2/ 3/5/8nm 8档转换近红外区：0.2/ 0.5/ 1/ 2/ 3/5/8/12/20/32nm 10档转换；</w:t>
            </w:r>
          </w:p>
          <w:p w14:paraId="40228A5A">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3.1.10 分辨率：≤0.1nm；</w:t>
            </w:r>
          </w:p>
          <w:p w14:paraId="0D8C4845">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3.1.11杂散光：≤0.00008% (220nm，Nal )，≤0.00005% (340nm，NaNO</w:t>
            </w:r>
            <w:r>
              <w:rPr>
                <w:rFonts w:hint="eastAsia" w:ascii="宋体" w:hAnsi="宋体" w:eastAsia="宋体" w:cs="宋体"/>
                <w:bCs/>
                <w:color w:val="000000" w:themeColor="text1"/>
                <w:vertAlign w:val="subscript"/>
                <w14:textFill>
                  <w14:solidFill>
                    <w14:schemeClr w14:val="tx1"/>
                  </w14:solidFill>
                </w14:textFill>
              </w:rPr>
              <w:t>2</w:t>
            </w:r>
            <w:r>
              <w:rPr>
                <w:rFonts w:hint="eastAsia" w:ascii="宋体" w:hAnsi="宋体" w:eastAsia="宋体" w:cs="宋体"/>
                <w:bCs/>
                <w:color w:val="000000" w:themeColor="text1"/>
                <w14:textFill>
                  <w14:solidFill>
                    <w14:schemeClr w14:val="tx1"/>
                  </w14:solidFill>
                </w14:textFill>
              </w:rPr>
              <w:t>) ≤0.0005% (1420nm，H</w:t>
            </w:r>
            <w:r>
              <w:rPr>
                <w:rFonts w:hint="eastAsia" w:ascii="宋体" w:hAnsi="宋体" w:eastAsia="宋体" w:cs="宋体"/>
                <w:bCs/>
                <w:color w:val="000000" w:themeColor="text1"/>
                <w:vertAlign w:val="subscript"/>
                <w14:textFill>
                  <w14:solidFill>
                    <w14:schemeClr w14:val="tx1"/>
                  </w14:solidFill>
                </w14:textFill>
              </w:rPr>
              <w:t>2</w:t>
            </w:r>
            <w:r>
              <w:rPr>
                <w:rFonts w:hint="eastAsia" w:ascii="宋体" w:hAnsi="宋体" w:eastAsia="宋体" w:cs="宋体"/>
                <w:bCs/>
                <w:color w:val="000000" w:themeColor="text1"/>
                <w14:textFill>
                  <w14:solidFill>
                    <w14:schemeClr w14:val="tx1"/>
                  </w14:solidFill>
                </w14:textFill>
              </w:rPr>
              <w:t>O)，≤0.005% (2365nm，CHCl</w:t>
            </w:r>
            <w:r>
              <w:rPr>
                <w:rFonts w:hint="eastAsia" w:ascii="宋体" w:hAnsi="宋体" w:eastAsia="宋体" w:cs="宋体"/>
                <w:bCs/>
                <w:color w:val="000000" w:themeColor="text1"/>
                <w:vertAlign w:val="subscript"/>
                <w14:textFill>
                  <w14:solidFill>
                    <w14:schemeClr w14:val="tx1"/>
                  </w14:solidFill>
                </w14:textFill>
              </w:rPr>
              <w:t>3</w:t>
            </w:r>
            <w:r>
              <w:rPr>
                <w:rFonts w:hint="eastAsia" w:ascii="宋体" w:hAnsi="宋体" w:eastAsia="宋体" w:cs="宋体"/>
                <w:bCs/>
                <w:color w:val="000000" w:themeColor="text1"/>
                <w14:textFill>
                  <w14:solidFill>
                    <w14:schemeClr w14:val="tx1"/>
                  </w14:solidFill>
                </w14:textFill>
              </w:rPr>
              <w:t>)；</w:t>
            </w:r>
          </w:p>
          <w:p w14:paraId="00E905BB">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3.1.12 测光方式：双光束测光方式；</w:t>
            </w:r>
          </w:p>
          <w:p w14:paraId="4E5FF415">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3.1.13 测光类型；吸光度（Abs），透射率（％），反射率，能量（E）</w:t>
            </w:r>
          </w:p>
          <w:p w14:paraId="7BFE2623">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3.1.14 测光范围：吸光度范围：≥-6~6 Abs；</w:t>
            </w:r>
          </w:p>
          <w:p w14:paraId="3F17D811">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3.1.15 光度准确性：≤0.003Abs(1Abs)，≤0.002Abs(0.5Abs)以上由NIST930D标准滤光镜测试；</w:t>
            </w:r>
          </w:p>
          <w:p w14:paraId="32242C0E">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3.1.16 光度重复精度：≤0.0008Abs(0～0.5Abs)，≤0.0016Abs(0.5～1.0Abs)，1秒计算，5次测定的最大偏差；</w:t>
            </w:r>
          </w:p>
          <w:p w14:paraId="78A61703">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3.1.17 噪音≤0.00005Abs RMS (在500nm)，≤0.00008Abs以下 (在900nm)，≤0.00003Abs以下，(在1500nm)，狭缝≤</w:t>
            </w:r>
            <w:r>
              <w:rPr>
                <w:rFonts w:hint="eastAsia" w:ascii="宋体" w:hAnsi="宋体" w:eastAsia="宋体" w:cs="宋体"/>
                <w:bCs/>
                <w:color w:val="000000" w:themeColor="text1"/>
                <w:highlight w:val="none"/>
                <w14:textFill>
                  <w14:solidFill>
                    <w14:schemeClr w14:val="tx1"/>
                  </w14:solidFill>
                </w14:textFill>
              </w:rPr>
              <w:t>2nm</w:t>
            </w:r>
            <w:r>
              <w:rPr>
                <w:rFonts w:hint="eastAsia" w:ascii="宋体" w:hAnsi="宋体" w:eastAsia="宋体" w:cs="宋体"/>
                <w:bCs/>
                <w:color w:val="000000" w:themeColor="text1"/>
                <w14:textFill>
                  <w14:solidFill>
                    <w14:schemeClr w14:val="tx1"/>
                  </w14:solidFill>
                </w14:textFill>
              </w:rPr>
              <w:t>，1秒响应时的RMS值；</w:t>
            </w:r>
          </w:p>
          <w:p w14:paraId="6AA24E55">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3.1.18基线平直度：±0.004Abs（185-200nm）±0.001Abs（200-3000nm）±0.005Abs（3000-3300nm）；</w:t>
            </w:r>
          </w:p>
          <w:p w14:paraId="048C247F">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3.1.19 漂移：≤0.0002Abs/h (电源启动2小时后，500nm，1秒计算)；</w:t>
            </w:r>
          </w:p>
          <w:p w14:paraId="025EF42B">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1.20 基线校正：计算机自动校正（电源启动时，自动存储备份的基线，可以再校正）；</w:t>
            </w:r>
          </w:p>
          <w:p w14:paraId="51282DC6">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3.2. 光源：≥50W卤素灯和氘灯（插座型）</w:t>
            </w:r>
          </w:p>
          <w:p w14:paraId="7BFE5DB1">
            <w:pPr>
              <w:keepNext w:val="0"/>
              <w:keepLines w:val="0"/>
              <w:suppressLineNumbers w:val="0"/>
              <w:spacing w:before="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3.2.1 标配三检测器，紫外、可见区：光电倍增管R-928，近红外区：InGaAs光电二极管和冷却型PbS光电导原件；</w:t>
            </w:r>
          </w:p>
          <w:p w14:paraId="7D52B49A">
            <w:pPr>
              <w:keepNext w:val="0"/>
              <w:keepLines w:val="0"/>
              <w:suppressLineNumbers w:val="0"/>
              <w:spacing w:before="120" w:beforeLines="0" w:beforeAutospacing="0" w:after="0" w:afterAutospacing="0"/>
              <w:ind w:left="420" w:right="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3.2.2可以使用软件LABSOLUTION可以实时监测和采集数据并分析数据。积分球附件，标配PMT/InGaAs/PbS三检测器，无须手动切换，可以软件自动控制。</w:t>
            </w:r>
          </w:p>
          <w:p w14:paraId="6FA66AA4">
            <w:pPr>
              <w:keepNext w:val="0"/>
              <w:keepLines w:val="0"/>
              <w:suppressLineNumbers w:val="0"/>
              <w:spacing w:before="120" w:beforeLines="0" w:beforeAutospacing="0" w:after="0" w:afterAutospacing="0"/>
              <w:ind w:left="420" w:right="0" w:hanging="420" w:hangingChars="200"/>
              <w:rPr>
                <w:rFonts w:hint="eastAsia" w:ascii="宋体" w:hAnsi="宋体" w:eastAsia="宋体" w:cs="宋体"/>
                <w:color w:val="000000" w:themeColor="text1"/>
                <w14:textFill>
                  <w14:solidFill>
                    <w14:schemeClr w14:val="tx1"/>
                  </w14:solidFill>
                </w14:textFill>
              </w:rPr>
            </w:pPr>
          </w:p>
        </w:tc>
      </w:tr>
    </w:tbl>
    <w:p w14:paraId="09ED3407">
      <w:pPr>
        <w:ind w:left="420" w:hanging="420" w:hangingChars="200"/>
      </w:pPr>
    </w:p>
    <w:p w14:paraId="389CA8FB">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90B"/>
    <w:rsid w:val="000475A5"/>
    <w:rsid w:val="000931FF"/>
    <w:rsid w:val="000A5EF4"/>
    <w:rsid w:val="000B05ED"/>
    <w:rsid w:val="000D4209"/>
    <w:rsid w:val="000D7CA8"/>
    <w:rsid w:val="00101B7F"/>
    <w:rsid w:val="00131CEB"/>
    <w:rsid w:val="00180D3E"/>
    <w:rsid w:val="00182861"/>
    <w:rsid w:val="001A206D"/>
    <w:rsid w:val="001A36FE"/>
    <w:rsid w:val="001B7CB9"/>
    <w:rsid w:val="001E49C5"/>
    <w:rsid w:val="0028770E"/>
    <w:rsid w:val="00290BC8"/>
    <w:rsid w:val="002B727E"/>
    <w:rsid w:val="003519F8"/>
    <w:rsid w:val="00373139"/>
    <w:rsid w:val="003754D4"/>
    <w:rsid w:val="00460DC5"/>
    <w:rsid w:val="00461995"/>
    <w:rsid w:val="004F3284"/>
    <w:rsid w:val="0051301F"/>
    <w:rsid w:val="0054082E"/>
    <w:rsid w:val="0058384B"/>
    <w:rsid w:val="005871C8"/>
    <w:rsid w:val="00637415"/>
    <w:rsid w:val="006B7CAD"/>
    <w:rsid w:val="006D0A65"/>
    <w:rsid w:val="006D2A38"/>
    <w:rsid w:val="00700C35"/>
    <w:rsid w:val="00733B22"/>
    <w:rsid w:val="007669CB"/>
    <w:rsid w:val="007916B9"/>
    <w:rsid w:val="00794F99"/>
    <w:rsid w:val="007C0C65"/>
    <w:rsid w:val="00860AFC"/>
    <w:rsid w:val="0088206B"/>
    <w:rsid w:val="008A00BF"/>
    <w:rsid w:val="009271D9"/>
    <w:rsid w:val="00997A4A"/>
    <w:rsid w:val="00A96879"/>
    <w:rsid w:val="00B4490B"/>
    <w:rsid w:val="00B52BED"/>
    <w:rsid w:val="00BB22EE"/>
    <w:rsid w:val="00C51B1D"/>
    <w:rsid w:val="00C73785"/>
    <w:rsid w:val="00C80C94"/>
    <w:rsid w:val="00D116E2"/>
    <w:rsid w:val="00D244E4"/>
    <w:rsid w:val="00D42546"/>
    <w:rsid w:val="00D807B6"/>
    <w:rsid w:val="00DC387E"/>
    <w:rsid w:val="00E1081E"/>
    <w:rsid w:val="00E35E35"/>
    <w:rsid w:val="00E45A10"/>
    <w:rsid w:val="00EB42CA"/>
    <w:rsid w:val="00EC657D"/>
    <w:rsid w:val="00F96CE2"/>
    <w:rsid w:val="00FC6649"/>
    <w:rsid w:val="01C12192"/>
    <w:rsid w:val="092F672E"/>
    <w:rsid w:val="12E4649A"/>
    <w:rsid w:val="24C14E87"/>
    <w:rsid w:val="36670222"/>
    <w:rsid w:val="38237904"/>
    <w:rsid w:val="38712405"/>
    <w:rsid w:val="3E965AD3"/>
    <w:rsid w:val="3FCA4D65"/>
    <w:rsid w:val="6A8120E5"/>
    <w:rsid w:val="7CD41FD9"/>
    <w:rsid w:val="7DA906AB"/>
    <w:rsid w:val="7EF749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toc 7"/>
    <w:basedOn w:val="1"/>
    <w:next w:val="1"/>
    <w:autoRedefine/>
    <w:unhideWhenUsed/>
    <w:qFormat/>
    <w:uiPriority w:val="39"/>
    <w:pPr>
      <w:ind w:left="2520" w:leftChars="1200"/>
    </w:pPr>
  </w:style>
  <w:style w:type="paragraph" w:styleId="3">
    <w:name w:val="annotation text"/>
    <w:basedOn w:val="1"/>
    <w:link w:val="15"/>
    <w:unhideWhenUsed/>
    <w:qFormat/>
    <w:uiPriority w:val="0"/>
    <w:pPr>
      <w:keepNext w:val="0"/>
      <w:keepLines w:val="0"/>
      <w:widowControl w:val="0"/>
      <w:suppressLineNumbers w:val="0"/>
      <w:spacing w:before="0" w:beforeAutospacing="0" w:after="0" w:afterAutospacing="0"/>
      <w:ind w:left="0" w:right="0"/>
      <w:jc w:val="left"/>
    </w:pPr>
    <w:rPr>
      <w:rFonts w:hint="default" w:ascii="Calibri" w:hAnsi="Calibri" w:eastAsia="宋体" w:cs="Times New Roman"/>
      <w:kern w:val="2"/>
      <w:sz w:val="21"/>
      <w:szCs w:val="22"/>
      <w:lang w:val="en-US" w:eastAsia="zh-CN" w:bidi="ar"/>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3"/>
    <w:next w:val="3"/>
    <w:link w:val="16"/>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nhideWhenUsed/>
    <w:qFormat/>
    <w:uiPriority w:val="99"/>
    <w:rPr>
      <w:color w:val="0563C1" w:themeColor="hyperlink"/>
      <w:u w:val="single"/>
      <w14:textFill>
        <w14:solidFill>
          <w14:schemeClr w14:val="hlink"/>
        </w14:solidFill>
      </w14:textFill>
    </w:rPr>
  </w:style>
  <w:style w:type="character" w:styleId="11">
    <w:name w:val="annotation reference"/>
    <w:basedOn w:val="9"/>
    <w:semiHidden/>
    <w:unhideWhenUsed/>
    <w:qFormat/>
    <w:uiPriority w:val="99"/>
    <w:rPr>
      <w:sz w:val="21"/>
      <w:szCs w:val="21"/>
    </w:rPr>
  </w:style>
  <w:style w:type="paragraph" w:styleId="12">
    <w:name w:val="List Paragraph"/>
    <w:basedOn w:val="1"/>
    <w:qFormat/>
    <w:uiPriority w:val="34"/>
    <w:pPr>
      <w:ind w:firstLine="420" w:firstLineChars="200"/>
    </w:pPr>
  </w:style>
  <w:style w:type="character" w:customStyle="1" w:styleId="13">
    <w:name w:val="页眉 字符"/>
    <w:basedOn w:val="9"/>
    <w:link w:val="5"/>
    <w:qFormat/>
    <w:uiPriority w:val="99"/>
    <w:rPr>
      <w:sz w:val="18"/>
      <w:szCs w:val="18"/>
    </w:rPr>
  </w:style>
  <w:style w:type="character" w:customStyle="1" w:styleId="14">
    <w:name w:val="页脚 字符"/>
    <w:basedOn w:val="9"/>
    <w:link w:val="4"/>
    <w:qFormat/>
    <w:uiPriority w:val="99"/>
    <w:rPr>
      <w:sz w:val="18"/>
      <w:szCs w:val="18"/>
    </w:rPr>
  </w:style>
  <w:style w:type="character" w:customStyle="1" w:styleId="15">
    <w:name w:val="批注文字 字符"/>
    <w:basedOn w:val="9"/>
    <w:link w:val="3"/>
    <w:semiHidden/>
    <w:qFormat/>
    <w:uiPriority w:val="99"/>
    <w:rPr>
      <w:kern w:val="2"/>
      <w:sz w:val="21"/>
      <w:szCs w:val="22"/>
    </w:rPr>
  </w:style>
  <w:style w:type="character" w:customStyle="1" w:styleId="16">
    <w:name w:val="批注主题 字符"/>
    <w:basedOn w:val="15"/>
    <w:link w:val="6"/>
    <w:semiHidden/>
    <w:qFormat/>
    <w:uiPriority w:val="99"/>
    <w:rPr>
      <w:b/>
      <w:bCs/>
      <w:kern w:val="2"/>
      <w:sz w:val="21"/>
      <w:szCs w:val="22"/>
    </w:rPr>
  </w:style>
  <w:style w:type="character" w:customStyle="1" w:styleId="17">
    <w:name w:val="批注文字 字符1"/>
    <w:basedOn w:val="9"/>
    <w:autoRedefine/>
    <w:qFormat/>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3299</Words>
  <Characters>4687</Characters>
  <Lines>18</Lines>
  <Paragraphs>5</Paragraphs>
  <TotalTime>2</TotalTime>
  <ScaleCrop>false</ScaleCrop>
  <LinksUpToDate>false</LinksUpToDate>
  <CharactersWithSpaces>4902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2022-11-01T03:09:00Z</dcterms:created>
  <dc:creator>高 倩</dc:creator>
  <cp:lastModifiedBy>段池</cp:lastModifiedBy>
  <dcterms:modified xsi:type="dcterms:W3CDTF">2025-11-18T01:49:14Z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B92DFE9043CC4912B8C31648648FE557_13</vt:lpwstr>
  </property>
</Properties>
</file>