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B82276">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ascii="Times New Roman" w:hAnsi="Times New Roman" w:eastAsia="方正仿宋_GB2312" w:cs="仿宋"/>
          <w:b/>
          <w:bCs/>
          <w:iCs/>
          <w:sz w:val="24"/>
          <w:szCs w:val="28"/>
        </w:rPr>
      </w:pPr>
      <w:bookmarkStart w:id="0" w:name="OLE_LINK7"/>
      <w:r>
        <w:rPr>
          <w:rFonts w:hint="eastAsia" w:ascii="Times New Roman" w:hAnsi="Times New Roman" w:eastAsia="方正仿宋_GB2312" w:cs="仿宋"/>
          <w:b/>
          <w:bCs/>
          <w:iCs/>
          <w:sz w:val="24"/>
          <w:szCs w:val="28"/>
        </w:rPr>
        <w:t>附件</w:t>
      </w:r>
      <w:r>
        <w:rPr>
          <w:rFonts w:ascii="Times New Roman" w:hAnsi="Times New Roman" w:eastAsia="方正仿宋_GB2312" w:cs="仿宋"/>
          <w:b/>
          <w:bCs/>
          <w:iCs/>
          <w:sz w:val="24"/>
          <w:szCs w:val="28"/>
        </w:rPr>
        <w:t>4</w:t>
      </w:r>
      <w:r>
        <w:rPr>
          <w:rFonts w:hint="eastAsia" w:ascii="Times New Roman" w:hAnsi="Times New Roman" w:eastAsia="方正仿宋_GB2312" w:cs="仿宋"/>
          <w:b/>
          <w:bCs/>
          <w:iCs/>
          <w:sz w:val="24"/>
          <w:szCs w:val="28"/>
        </w:rPr>
        <w:t>：</w:t>
      </w:r>
    </w:p>
    <w:p w14:paraId="77D53FA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center"/>
        <w:textAlignment w:val="auto"/>
        <w:rPr>
          <w:rFonts w:ascii="Times New Roman" w:hAnsi="Times New Roman" w:eastAsia="方正仿宋_GB2312" w:cs="方正粗黑宋简体"/>
          <w:sz w:val="24"/>
          <w:szCs w:val="36"/>
        </w:rPr>
      </w:pPr>
      <w:r>
        <w:rPr>
          <w:rFonts w:hint="eastAsia" w:ascii="Times New Roman" w:hAnsi="Times New Roman" w:eastAsia="方正仿宋_GB2312" w:cs="方正粗黑宋简体"/>
          <w:sz w:val="24"/>
          <w:szCs w:val="36"/>
        </w:rPr>
        <w:t>技术</w:t>
      </w:r>
      <w:r>
        <w:rPr>
          <w:rFonts w:ascii="Times New Roman" w:hAnsi="Times New Roman" w:eastAsia="方正仿宋_GB2312" w:cs="方正粗黑宋简体"/>
          <w:sz w:val="24"/>
          <w:szCs w:val="36"/>
        </w:rPr>
        <w:t>要求</w:t>
      </w:r>
      <w:r>
        <w:rPr>
          <w:rFonts w:hint="eastAsia" w:ascii="Times New Roman" w:hAnsi="Times New Roman" w:eastAsia="方正仿宋_GB2312" w:cs="方正粗黑宋简体"/>
          <w:sz w:val="24"/>
          <w:szCs w:val="36"/>
        </w:rPr>
        <w:t>-</w:t>
      </w:r>
      <w:r>
        <w:rPr>
          <w:rFonts w:ascii="Times New Roman" w:hAnsi="Times New Roman" w:eastAsia="方正仿宋_GB2312" w:cs="方正粗黑宋简体"/>
          <w:sz w:val="24"/>
          <w:szCs w:val="36"/>
        </w:rPr>
        <w:t>技术参数部分</w:t>
      </w:r>
    </w:p>
    <w:p w14:paraId="5432CE2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ascii="Times New Roman" w:hAnsi="Times New Roman" w:eastAsia="方正仿宋_GB2312" w:cs="黑体"/>
          <w:sz w:val="24"/>
        </w:rPr>
      </w:pPr>
      <w:r>
        <w:rPr>
          <w:rFonts w:hint="eastAsia" w:ascii="Times New Roman" w:hAnsi="Times New Roman" w:eastAsia="方正仿宋_GB2312" w:cs="黑体"/>
          <w:sz w:val="24"/>
        </w:rPr>
        <w:t>一、采购需求符合的标准</w:t>
      </w:r>
    </w:p>
    <w:p w14:paraId="39415885">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ascii="Times New Roman" w:hAnsi="Times New Roman" w:eastAsia="方正仿宋_GB2312" w:cs="仿宋"/>
          <w:b/>
          <w:bCs/>
          <w:iCs/>
          <w:sz w:val="24"/>
          <w:u w:val="single"/>
        </w:rPr>
      </w:pPr>
      <w:r>
        <w:rPr>
          <w:rFonts w:hint="eastAsia" w:ascii="Times New Roman" w:hAnsi="Times New Roman" w:eastAsia="方正仿宋_GB2312" w:cs="仿宋"/>
          <w:b/>
          <w:bCs/>
          <w:iCs/>
          <w:sz w:val="24"/>
          <w:u w:val="single"/>
        </w:rPr>
        <w:t>（采购需求可以直接引用相关国家标准、行业标准、地方标准等标准、规范，在需求调查能保证充分竞争的前提下，也可以根据项目目标提出更高的技术要求。）</w:t>
      </w:r>
    </w:p>
    <w:p w14:paraId="28A68DD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ascii="Times New Roman" w:hAnsi="Times New Roman" w:eastAsia="方正仿宋_GB2312" w:cs="黑体"/>
          <w:sz w:val="24"/>
        </w:rPr>
      </w:pPr>
      <w:r>
        <w:rPr>
          <w:rFonts w:hint="eastAsia" w:ascii="Times New Roman" w:hAnsi="Times New Roman" w:eastAsia="方正仿宋_GB2312" w:cs="黑体"/>
          <w:sz w:val="24"/>
        </w:rPr>
        <w:t>二、技术要求</w:t>
      </w:r>
    </w:p>
    <w:p w14:paraId="4D507EB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宋体"/>
          <w:b/>
          <w:bCs/>
          <w:sz w:val="24"/>
          <w:lang w:val="en-US" w:eastAsia="zh-CN"/>
        </w:rPr>
      </w:pPr>
      <w:r>
        <w:rPr>
          <w:rFonts w:hint="eastAsia" w:ascii="Times New Roman" w:hAnsi="Times New Roman" w:eastAsia="方正仿宋_GB2312" w:cs="宋体"/>
          <w:b/>
          <w:bCs/>
          <w:sz w:val="24"/>
        </w:rPr>
        <w:t>标的物1：</w:t>
      </w:r>
      <w:r>
        <w:rPr>
          <w:rFonts w:hint="eastAsia" w:ascii="Times New Roman" w:hAnsi="Times New Roman" w:eastAsia="方正仿宋_GB2312" w:cs="仿宋"/>
          <w:b/>
          <w:bCs/>
          <w:iCs/>
          <w:sz w:val="24"/>
          <w:u w:val="none"/>
        </w:rPr>
        <w:t>示教端</w:t>
      </w:r>
      <w:r>
        <w:rPr>
          <w:rFonts w:hint="eastAsia" w:ascii="Times New Roman" w:hAnsi="Times New Roman" w:eastAsia="方正仿宋_GB2312" w:cs="仿宋"/>
          <w:b/>
          <w:bCs/>
          <w:iCs/>
          <w:sz w:val="24"/>
          <w:u w:val="none"/>
          <w:lang w:val="en-US" w:eastAsia="zh-CN"/>
        </w:rPr>
        <w:t>硬件</w:t>
      </w:r>
    </w:p>
    <w:bookmarkEnd w:id="0"/>
    <w:p w14:paraId="705F70F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1.1 操作场地实操空间≥12平方米；LED补光灯≥4个，冷白光，无级调光，寿命≥30000小时；墙面刷白色乳胶漆打底，再刷绿色现配乳胶漆≥2层；</w:t>
      </w:r>
    </w:p>
    <w:p w14:paraId="2ACF36C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1.2 显示面积≥2.25m×4m，点间距：≤2mm；</w:t>
      </w:r>
    </w:p>
    <w:p w14:paraId="70CDC5D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1.3 </w:t>
      </w:r>
      <w:r>
        <w:rPr>
          <w:rFonts w:hint="eastAsia" w:ascii="Times New Roman" w:hAnsi="Times New Roman" w:eastAsia="方正仿宋_GB2312" w:cs="仿宋"/>
          <w:b w:val="0"/>
          <w:bCs w:val="0"/>
          <w:iCs/>
          <w:sz w:val="24"/>
          <w:u w:val="none"/>
        </w:rPr>
        <w:t>亮度≥500cd/㎡，支持软件0-100%调节，发光点中心距偏差≤1%，亮度均匀性≥98%；错位等级≤1%；</w:t>
      </w:r>
    </w:p>
    <w:p w14:paraId="30BDEA8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1.4 </w:t>
      </w:r>
      <w:r>
        <w:rPr>
          <w:rFonts w:hint="eastAsia" w:ascii="Times New Roman" w:hAnsi="Times New Roman" w:eastAsia="方正仿宋_GB2312" w:cs="仿宋"/>
          <w:b w:val="0"/>
          <w:bCs w:val="0"/>
          <w:iCs/>
          <w:sz w:val="24"/>
          <w:u w:val="none"/>
        </w:rPr>
        <w:t>具有过流、短路、过压、欠压保护功能，具有防潮、防尘、防腐蚀功能，在10%RH-95%RH范围内可正常工作和储存；</w:t>
      </w:r>
    </w:p>
    <w:p w14:paraId="36824FD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1.5</w:t>
      </w:r>
      <w:r>
        <w:rPr>
          <w:rFonts w:hint="eastAsia" w:ascii="Times New Roman" w:hAnsi="Times New Roman" w:eastAsia="方正仿宋_GB2312" w:cs="仿宋"/>
          <w:b w:val="0"/>
          <w:bCs w:val="0"/>
          <w:iCs/>
          <w:sz w:val="24"/>
          <w:u w:val="none"/>
        </w:rPr>
        <w:t xml:space="preserve"> 提供第三人称视角拍摄，拍摄像素≥800万，静态有效像素≥1200万；</w:t>
      </w:r>
    </w:p>
    <w:p w14:paraId="49B78D0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1.6 </w:t>
      </w:r>
      <w:r>
        <w:rPr>
          <w:rFonts w:hint="eastAsia" w:ascii="Times New Roman" w:hAnsi="Times New Roman" w:eastAsia="方正仿宋_GB2312" w:cs="仿宋"/>
          <w:b w:val="0"/>
          <w:bCs w:val="0"/>
          <w:iCs/>
          <w:sz w:val="24"/>
          <w:u w:val="none"/>
        </w:rPr>
        <w:t>采集卡录制最高帧率≥60fps；</w:t>
      </w:r>
    </w:p>
    <w:p w14:paraId="270115C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1.7 </w:t>
      </w:r>
      <w:r>
        <w:rPr>
          <w:rFonts w:hint="eastAsia" w:ascii="Times New Roman" w:hAnsi="Times New Roman" w:eastAsia="方正仿宋_GB2312" w:cs="仿宋"/>
          <w:b w:val="0"/>
          <w:bCs w:val="0"/>
          <w:iCs/>
          <w:sz w:val="24"/>
          <w:u w:val="none"/>
        </w:rPr>
        <w:t>追踪器定位精度≤1mm，延迟率≤60ms，视场角≥240°，可捕捉动作≥10种；</w:t>
      </w:r>
    </w:p>
    <w:p w14:paraId="20EA91A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1.8 </w:t>
      </w:r>
      <w:r>
        <w:rPr>
          <w:rFonts w:hint="eastAsia" w:ascii="Times New Roman" w:hAnsi="Times New Roman" w:eastAsia="方正仿宋_GB2312" w:cs="仿宋"/>
          <w:b w:val="0"/>
          <w:bCs w:val="0"/>
          <w:iCs/>
          <w:sz w:val="24"/>
          <w:u w:val="none"/>
        </w:rPr>
        <w:t>设备运存：≥6GB；</w:t>
      </w:r>
    </w:p>
    <w:p w14:paraId="0856FAF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1.9 </w:t>
      </w:r>
      <w:r>
        <w:rPr>
          <w:rFonts w:hint="eastAsia" w:ascii="Times New Roman" w:hAnsi="Times New Roman" w:eastAsia="方正仿宋_GB2312" w:cs="仿宋"/>
          <w:b w:val="0"/>
          <w:bCs w:val="0"/>
          <w:iCs/>
          <w:sz w:val="24"/>
          <w:u w:val="none"/>
        </w:rPr>
        <w:t>设备定位≤1mm精度误差；</w:t>
      </w:r>
    </w:p>
    <w:p w14:paraId="2E4AD5C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1.</w:t>
      </w:r>
      <w:r>
        <w:rPr>
          <w:rFonts w:hint="eastAsia" w:eastAsia="方正仿宋_GB2312" w:cs="仿宋"/>
          <w:b w:val="0"/>
          <w:bCs w:val="0"/>
          <w:iCs/>
          <w:sz w:val="24"/>
          <w:u w:val="none"/>
          <w:lang w:val="en-US" w:eastAsia="zh-CN"/>
        </w:rPr>
        <w:t xml:space="preserve">10 </w:t>
      </w:r>
      <w:r>
        <w:rPr>
          <w:rFonts w:hint="eastAsia" w:ascii="Times New Roman" w:hAnsi="Times New Roman" w:eastAsia="方正仿宋_GB2312" w:cs="仿宋"/>
          <w:b w:val="0"/>
          <w:bCs w:val="0"/>
          <w:iCs/>
          <w:sz w:val="24"/>
          <w:u w:val="none"/>
        </w:rPr>
        <w:t>支持实验室语音交互，功放频率响应：20Hz-20KHz(±0.5dB)，多种模式选择：立体声、桥接、单声道，内置30Hz高通滤波器；</w:t>
      </w:r>
    </w:p>
    <w:p w14:paraId="3E5DE51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1.11 </w:t>
      </w:r>
      <w:r>
        <w:rPr>
          <w:rFonts w:hint="eastAsia" w:ascii="Times New Roman" w:hAnsi="Times New Roman" w:eastAsia="方正仿宋_GB2312" w:cs="仿宋"/>
          <w:b w:val="0"/>
          <w:bCs w:val="0"/>
          <w:iCs/>
          <w:sz w:val="24"/>
          <w:u w:val="none"/>
        </w:rPr>
        <w:t>音箱可调功率：40W/20W/10W/5W; 灵敏度：（1W/1M）88dB±3dB; 频率响应：150-20KHz；</w:t>
      </w:r>
    </w:p>
    <w:p w14:paraId="289F8DD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1.12 </w:t>
      </w:r>
      <w:r>
        <w:rPr>
          <w:rFonts w:hint="eastAsia" w:ascii="Times New Roman" w:hAnsi="Times New Roman" w:eastAsia="方正仿宋_GB2312" w:cs="仿宋"/>
          <w:b w:val="0"/>
          <w:bCs w:val="0"/>
          <w:iCs/>
          <w:sz w:val="24"/>
          <w:u w:val="none"/>
        </w:rPr>
        <w:t>话筒接收设备频率范围：640-690MHz; 设备可调范围：50MHz; 接收设备信道数目：200; 接收设备频率稳定度：±0.005%以内；</w:t>
      </w:r>
    </w:p>
    <w:p w14:paraId="50BFFAE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color w:val="C00000"/>
          <w:sz w:val="24"/>
          <w:u w:val="none"/>
          <w:lang w:val="en-US" w:eastAsia="zh-CN"/>
        </w:rPr>
        <w:t>1.13</w:t>
      </w:r>
      <w:r>
        <w:rPr>
          <w:rFonts w:hint="eastAsia" w:ascii="Times New Roman" w:hAnsi="Times New Roman" w:eastAsia="方正仿宋_GB2312" w:cs="仿宋"/>
          <w:b w:val="0"/>
          <w:bCs w:val="0"/>
          <w:iCs/>
          <w:color w:val="C00000"/>
          <w:sz w:val="24"/>
          <w:u w:val="none"/>
        </w:rPr>
        <w:t xml:space="preserve"> </w:t>
      </w:r>
      <w:r>
        <w:rPr>
          <w:rFonts w:hint="eastAsia" w:ascii="Times New Roman" w:hAnsi="Times New Roman" w:eastAsia="方正仿宋_GB2312" w:cs="仿宋"/>
          <w:b w:val="0"/>
          <w:bCs w:val="0"/>
          <w:iCs/>
          <w:sz w:val="24"/>
          <w:u w:val="none"/>
        </w:rPr>
        <w:t>在显示端可实时观看VR操作者的第一人称沉浸画面与第三人称全局视角，实现实时渲染同步输出（投标时需提供视频操作文件以证明投标产品具有上述功能）。</w:t>
      </w:r>
    </w:p>
    <w:p w14:paraId="4C5C4643">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hint="eastAsia" w:ascii="Times New Roman" w:hAnsi="Times New Roman" w:eastAsia="方正仿宋_GB2312" w:cs="宋体"/>
          <w:b/>
          <w:bCs/>
          <w:sz w:val="24"/>
        </w:rPr>
      </w:pPr>
    </w:p>
    <w:p w14:paraId="5202DE9B">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宋体"/>
          <w:b/>
          <w:bCs/>
          <w:sz w:val="24"/>
          <w:lang w:val="en-US" w:eastAsia="zh-CN"/>
        </w:rPr>
      </w:pPr>
      <w:r>
        <w:rPr>
          <w:rFonts w:hint="eastAsia" w:ascii="Times New Roman" w:hAnsi="Times New Roman" w:eastAsia="方正仿宋_GB2312" w:cs="宋体"/>
          <w:b/>
          <w:bCs/>
          <w:sz w:val="24"/>
        </w:rPr>
        <w:t>标的物</w:t>
      </w:r>
      <w:r>
        <w:rPr>
          <w:rFonts w:hint="eastAsia" w:ascii="Times New Roman" w:hAnsi="Times New Roman" w:eastAsia="方正仿宋_GB2312" w:cs="宋体"/>
          <w:b/>
          <w:bCs/>
          <w:sz w:val="24"/>
          <w:lang w:val="en-US" w:eastAsia="zh-CN"/>
        </w:rPr>
        <w:t>2</w:t>
      </w:r>
      <w:r>
        <w:rPr>
          <w:rFonts w:hint="eastAsia" w:ascii="Times New Roman" w:hAnsi="Times New Roman" w:eastAsia="方正仿宋_GB2312" w:cs="宋体"/>
          <w:b/>
          <w:bCs/>
          <w:sz w:val="24"/>
        </w:rPr>
        <w:t>：</w:t>
      </w:r>
      <w:r>
        <w:rPr>
          <w:rFonts w:hint="eastAsia" w:ascii="Times New Roman" w:hAnsi="Times New Roman" w:eastAsia="方正仿宋_GB2312" w:cs="仿宋"/>
          <w:b/>
          <w:bCs/>
          <w:iCs/>
          <w:sz w:val="24"/>
          <w:u w:val="none"/>
        </w:rPr>
        <w:t>示教端</w:t>
      </w:r>
      <w:r>
        <w:rPr>
          <w:rFonts w:hint="eastAsia" w:ascii="Times New Roman" w:hAnsi="Times New Roman" w:eastAsia="方正仿宋_GB2312" w:cs="仿宋"/>
          <w:b/>
          <w:bCs/>
          <w:iCs/>
          <w:sz w:val="24"/>
          <w:u w:val="none"/>
          <w:lang w:val="en-US" w:eastAsia="zh-CN"/>
        </w:rPr>
        <w:t>软件</w:t>
      </w:r>
    </w:p>
    <w:p w14:paraId="3C4F676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color w:val="C00000"/>
          <w:sz w:val="24"/>
          <w:u w:val="none"/>
        </w:rPr>
        <w:t>2.1</w:t>
      </w:r>
      <w:r>
        <w:rPr>
          <w:rFonts w:hint="eastAsia" w:ascii="Times New Roman" w:hAnsi="Times New Roman" w:eastAsia="方正仿宋_GB2312" w:cs="仿宋"/>
          <w:b w:val="0"/>
          <w:bCs w:val="0"/>
          <w:iCs/>
          <w:sz w:val="24"/>
          <w:u w:val="none"/>
        </w:rPr>
        <w:t>与服务器双向数据传输、同步到服务器、下发给虚拟现实沉浸端、信息展示端、学生端、教师示教端软件；</w:t>
      </w:r>
    </w:p>
    <w:p w14:paraId="436AB6D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color w:val="C00000"/>
          <w:sz w:val="24"/>
          <w:u w:val="none"/>
        </w:rPr>
        <w:t xml:space="preserve">2.2 </w:t>
      </w:r>
      <w:r>
        <w:rPr>
          <w:rFonts w:hint="eastAsia" w:ascii="Times New Roman" w:hAnsi="Times New Roman" w:eastAsia="方正仿宋_GB2312" w:cs="仿宋"/>
          <w:b w:val="0"/>
          <w:bCs w:val="0"/>
          <w:iCs/>
          <w:sz w:val="24"/>
          <w:u w:val="none"/>
        </w:rPr>
        <w:t>教师可在平板操作向学生发送发布实验操作试题；教师界面随即动态实时显示学生的完成进度与测试结果；教师可在平板操作控制实验的结束并生成完整的实验报告。（投标时需提供视频操作文件以证明投标产品具有上述功能）；</w:t>
      </w:r>
    </w:p>
    <w:p w14:paraId="3480413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2.3群体教学推流功能，包括但不限于群体播控和沉浸式虚拟现实画面推流。</w:t>
      </w:r>
    </w:p>
    <w:p w14:paraId="40DEBF9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2.4 VR实训模块采用主流虚拟引擎工具制作。提供第一人称控制方式，在场景中可以通过操作手柄对这些控制方式进行切换，场景的各种控制方式采用头盔来控制，移动、旋转要符合逻辑且运行流畅。学习模式有考核记录功能，包括了三维交互考核和理论试题考核；支持第三视野画面输出与录制；本模块至少包含以下资源：</w:t>
      </w:r>
    </w:p>
    <w:p w14:paraId="32575B3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2.4.1 单核细胞在脓毒症肝损伤中的作用</w:t>
      </w:r>
    </w:p>
    <w:p w14:paraId="2E39757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1）实验场景≥4个，含细胞房、分子生物学实验室、流式细胞实验室、动物房等；相关实验器械≥30个，包含冰箱，离心机，培养箱，匀浆机，离心管，镊子，消毒盒，移液枪，酒精灯，废液缸，试剂瓶，试管等。</w:t>
      </w:r>
    </w:p>
    <w:p w14:paraId="1CDCAEA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采用虚拟现实技术模拟完成手术器械高压蒸汽灭菌、超净台灭菌、小鼠称重麻醉、腹腔开口、结扎盲肠中段、盲肠壁穿孔、盲肠回纳腹腔、注射止痛药物、收集腹腔灌洗液、收集血液、营养琼脂平板涂布、血琼脂平板涂布、细菌培养、小鼠心脏灌流、取肝组织、第一次组织分散处理、离心取沉淀、组织消化、第二次组织分散处理、密度梯度离心、细胞染色孵育等，药物观察血压变化等交互性操作步骤≥22步骤，可通过沉浸式虚拟现实虚拟操作触发知识点考核≥12个且包含解析，学生手机端实时接收并作答，作答详情可在信息展示端实时显示统计数据。</w:t>
      </w:r>
    </w:p>
    <w:p w14:paraId="320F378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2.4.2 家兔急性肾功能衰竭虚拟现实实验</w:t>
      </w:r>
    </w:p>
    <w:p w14:paraId="779FF3A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1）三维建模：通过三维仿真技术建设相关场景、动物和用物素材，其中场景≥1个，包括实验室内场景；动物模型≥3个，包含家兔及家兔气管、颈动脉、膀胱、肾脏等脏器；用物模型≥20个，至少包含注射器、电子秤、剪刀、手术刀、手术剪、颈动脉插管、气管插管、止血钳、动脉夹、眼科剪等。</w:t>
      </w:r>
    </w:p>
    <w:p w14:paraId="533B96F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家兔基本手术操作：内容包括家兔捉拿、称重、麻醉与固定、剪毛、切开、止血、分离肌肉、分离血管与神经、气管插管、颈动脉插管、膀胱插管等家兔基本手术操作。其中设置≥10个交互操作对相关技能进行训练，≥5个考查点对知识点进行考查与讲解，≥20秒的3D动画对相关操作进行演示和知识点讲解。</w:t>
      </w:r>
    </w:p>
    <w:p w14:paraId="164E5EA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3）生物信号采集及尿生成的干预：内容包括为家兔注射生理盐水、去甲肾上腺素、葡萄糖、垂体后叶素、呋噻米后记录家兔尿量及血压，设置空白对照等对家兔进行生物信号采集及尿生成的干预的操作。其中设置≥10个交互操作对相关技能进行训练。</w:t>
      </w:r>
    </w:p>
    <w:p w14:paraId="139B227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4）急性肾功能衰竭模型的建立：内容包括为找到右肾及右肾蒂、结扎剪断右肾蒂、摘除右肾、分离左肾动脉、阻断左肾血液供应、恢复左肾血流、关闭腹腔等对家兔进行急性肾功能衰竭造模操作。其中设置≥10个交互操作对相关技能进行训练。</w:t>
      </w:r>
    </w:p>
    <w:p w14:paraId="13761C9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5）数据采集和综合分析：内容包括为颈总动脉取血、进行血气分析、为造模后家兔注射生理盐水、去甲肾上腺素、葡萄糖、垂体后叶素、呋噻米后记录家兔尿量及血压、处死家兔、取肾、观察肾脏外观及纵切面形态学等数据采集与综合分析操作。</w:t>
      </w:r>
    </w:p>
    <w:p w14:paraId="119CE13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2</w:t>
      </w:r>
      <w:r>
        <w:rPr>
          <w:rFonts w:hint="eastAsia" w:ascii="Times New Roman" w:hAnsi="Times New Roman" w:eastAsia="方正仿宋_GB2312" w:cs="仿宋"/>
          <w:b w:val="0"/>
          <w:bCs w:val="0"/>
          <w:iCs/>
          <w:sz w:val="24"/>
          <w:u w:val="none"/>
        </w:rPr>
        <w:t>.4.3 家兔血压调节及其影响因素</w:t>
      </w:r>
    </w:p>
    <w:p w14:paraId="00650D9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包含机能学实验室场景；相关实验器械≥30个，包含信号采集系统、兔笼（组）、婴儿称、试剂瓶、废液缸、恒温兔台、器械盘、铁架台、压力换能器、注射器、止血钳、手术剪、眼科剪、弯剪、手术刀、玻璃分针、动脉夹、玻璃插管、棉球、安培瓶等。</w:t>
      </w:r>
    </w:p>
    <w:p w14:paraId="5C7E253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采用虚拟现实技术模拟完成家兔捉拿、称重、麻醉、颈部手术、分离气管、气管插管、分离神经、动脉血管结扎、动脉插管、血压波形描记、注射肾上腺素、去甲肾上腺素、异丙肾上腺素、酚妥拉明、心得安后、乙酰胆碱、阿托品等药物观察血压变化等交互性操作步骤≥18步骤，可通过沉浸式虚拟现实虚拟操作触发知识点考核≥10个且包含解析，学生手机端实时接收并作答，作答详情可在信息展示端实时显示统计数据。</w:t>
      </w:r>
    </w:p>
    <w:p w14:paraId="173DEE9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2.4.4  WesternBlot——SDS-PAGE</w:t>
      </w:r>
    </w:p>
    <w:p w14:paraId="6D8082A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至少包含分子生物学实验室场景；三维素材≥30个，包含了电泳仪、电泳槽、电极芯、制胶架、制胶夹、玻璃板、培养皿、移液器及吸头（1000μL/200μL/10μL）、水平摇床、恒温加热器、梳子、离心管、离心管架、各类实验用试剂、凝胶刮板、冰箱、移液器架等。</w:t>
      </w:r>
    </w:p>
    <w:p w14:paraId="29491A5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2</w:t>
      </w:r>
      <w:r>
        <w:rPr>
          <w:rFonts w:hint="eastAsia" w:ascii="Times New Roman" w:hAnsi="Times New Roman" w:eastAsia="方正仿宋_GB2312" w:cs="仿宋"/>
          <w:b w:val="0"/>
          <w:bCs w:val="0"/>
          <w:iCs/>
          <w:sz w:val="24"/>
          <w:u w:val="none"/>
        </w:rPr>
        <w:t>）采用虚拟现实技术模拟完成：制备样品、制备分离胶、制备浓缩胶、上样电泳、凝胶染色、凝胶脱色等交互性操作步骤≥74步骤，可通过沉浸式虚拟现实虚拟操作触发知识点考核≥10个且包含解析，学生手机端实时接收并作答，作答详情可在信息展示端实时显示统计数据。</w:t>
      </w:r>
    </w:p>
    <w:p w14:paraId="2788498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2.4.5 血液总RNA提取</w:t>
      </w:r>
    </w:p>
    <w:p w14:paraId="4A7F5F5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至少包含分子生物学实验室场景；三维素材≥20个，包括了不同量程的移液器及吸头、离心管、离心管架、废液缸、冰箱、离心机、振荡器、氯仿、Trizol试剂、异丙醇、无核酸酶ddH2O、消毒盒、镊子、计时器等。</w:t>
      </w:r>
    </w:p>
    <w:p w14:paraId="43D8CEE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虚拟实验：采用虚拟现实技术模拟完成：收集血细胞、Trizol裂解、氯仿抽提、异丙醇沉淀、乙醇洗涤、溶解等交互性操作步骤≥82步骤，可通过沉浸式虚拟现实操作触发知识点考核≥10个且包含解析，学生手机端实时接收并作答，作答详情可在信息展示端实时显示统计数据。</w:t>
      </w:r>
    </w:p>
    <w:p w14:paraId="456C3F7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2.4.6 法医现场勘验</w:t>
      </w:r>
    </w:p>
    <w:p w14:paraId="6AE3823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1）实验背景：含法医现场勘验的概念与目的、尸体表面检验的基本知识、皮革样化的法医学价值、利用早期尸体现象对死亡时间进行推断、机械性窒息的损伤痕迹及征象、生物物证的现场勘验等相关知识点，学生可在手机上自由查看学习，教师可通过平板控制大屏显示进行知识点讲解。</w:t>
      </w:r>
    </w:p>
    <w:p w14:paraId="0AFF339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（2）理论测评：教师通过平板发布≥5道理论试题对背景知识进行测验，学生在手机上答题。结束答题后系统会自动记录学生的答题情况和题目解析显示在大屏上，教师可对考题进行针对性地讲解。</w:t>
      </w:r>
    </w:p>
    <w:p w14:paraId="0D7ACA0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3）实验操作：1）三维建模：通过三维仿真技术建设相关场景、人物和用物素材，其中场景≥2个，包括凶案现场、解剖室场景等；人物模型≥1个，包含受害者尸体；用物模型≥12个，至少包含手提包、足迹比例尺、手电筒、勘查灯、指纹毛刷、相机、毛巾、卫生纸、粉笔、指纹胶带、生物物证提取管、止血钳、温度计等。2）确证死亡：包括查看案情提要、自身防护装备穿戴、避开地面足迹到达受害者身边等确证死亡操作。其中设置≥3个交互操作对相关技能进行训练。3）观察勘验：包括大门初勘、划出路线、标记足迹等观察勘验操作。设置≥3个交互操作对相关技能进行训练。4）静态勘验：内容包括发现地面血迹、血迹提取、发现地面足迹、足迹比例尺拍照等静态勘验操作。设置≥2个交互操作对相关技能进行训练。5）法医尸表检验：内容包括直肠测量尸温、查看角膜及眼结膜、查看口唇血及口腔黏膜、查看颈部损伤、查看胸部损伤、查看大腿损伤、查看尸斑、查看尸僵等法医尸表检验操作。其中设置≥10个交互操作对相关技能进行训练。6）常见痕迹物证的发现与提取：内容包括墙面血迹拍照、汗液指纹发现与提取、血指纹发现与提取、手提包提取、卫生纸提取、血水提取等常见痕迹物证的发现与提取。其中设置≥5个交互操作对相关技能进行训练。</w:t>
      </w:r>
    </w:p>
    <w:p w14:paraId="1413160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imes New Roman" w:hAnsi="Times New Roman" w:eastAsia="方正仿宋_GB2312" w:cs="宋体"/>
          <w:b/>
          <w:bCs/>
          <w:sz w:val="24"/>
        </w:rPr>
      </w:pPr>
    </w:p>
    <w:p w14:paraId="3FA8254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仿宋"/>
          <w:b/>
          <w:bCs/>
          <w:iCs/>
          <w:sz w:val="24"/>
          <w:u w:val="none"/>
          <w:lang w:val="en-US" w:eastAsia="zh-CN"/>
        </w:rPr>
      </w:pPr>
      <w:r>
        <w:rPr>
          <w:rFonts w:hint="eastAsia" w:ascii="Times New Roman" w:hAnsi="Times New Roman" w:eastAsia="方正仿宋_GB2312" w:cs="宋体"/>
          <w:b/>
          <w:bCs/>
          <w:sz w:val="24"/>
        </w:rPr>
        <w:t>标的物</w:t>
      </w:r>
      <w:r>
        <w:rPr>
          <w:rFonts w:hint="eastAsia" w:ascii="Times New Roman" w:hAnsi="Times New Roman" w:eastAsia="方正仿宋_GB2312" w:cs="宋体"/>
          <w:b/>
          <w:bCs/>
          <w:sz w:val="24"/>
          <w:lang w:val="en-US" w:eastAsia="zh-CN"/>
        </w:rPr>
        <w:t>3</w:t>
      </w:r>
      <w:r>
        <w:rPr>
          <w:rFonts w:hint="eastAsia" w:ascii="Times New Roman" w:hAnsi="Times New Roman" w:eastAsia="方正仿宋_GB2312" w:cs="宋体"/>
          <w:b/>
          <w:bCs/>
          <w:sz w:val="24"/>
        </w:rPr>
        <w:t>：</w:t>
      </w:r>
      <w:r>
        <w:rPr>
          <w:rFonts w:hint="eastAsia" w:ascii="Times New Roman" w:hAnsi="Times New Roman" w:eastAsia="方正仿宋_GB2312" w:cs="宋体"/>
          <w:b/>
          <w:bCs/>
          <w:sz w:val="24"/>
          <w:lang w:val="en-US" w:eastAsia="zh-CN"/>
        </w:rPr>
        <w:t>学生端</w:t>
      </w:r>
      <w:r>
        <w:rPr>
          <w:rFonts w:hint="eastAsia" w:ascii="Times New Roman" w:hAnsi="Times New Roman" w:eastAsia="方正仿宋_GB2312" w:cs="仿宋"/>
          <w:b/>
          <w:bCs/>
          <w:iCs/>
          <w:sz w:val="24"/>
          <w:u w:val="none"/>
          <w:lang w:val="en-US" w:eastAsia="zh-CN"/>
        </w:rPr>
        <w:t>硬件</w:t>
      </w:r>
    </w:p>
    <w:p w14:paraId="0A49737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.1 群体VR学生互动教学台整体尺寸：直径≥2000mm，高度≥1100mm，单边桌面深度≥550mm；升降台直径≥850mm，高度≥350mm；机箱柜尺寸≥400mm*200mm*350mm；座位数量≥6；机箱柜数量≥6；升降台数量≥1；（投标时需提供加盖投标人公章的投标产品实物图）</w:t>
      </w:r>
    </w:p>
    <w:p w14:paraId="4E04C9C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.2 提供高速无线通信组件，LAN输出口速率≥1000Mbps，LAN口数量≥3; WAN接入口速率≥1000Mbps，</w:t>
      </w:r>
    </w:p>
    <w:p w14:paraId="4E18241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3.3 </w:t>
      </w:r>
      <w:r>
        <w:rPr>
          <w:rFonts w:hint="eastAsia" w:ascii="Times New Roman" w:hAnsi="Times New Roman" w:eastAsia="方正仿宋_GB2312" w:cs="仿宋"/>
          <w:b w:val="0"/>
          <w:bCs w:val="0"/>
          <w:iCs/>
          <w:sz w:val="24"/>
          <w:u w:val="none"/>
        </w:rPr>
        <w:t>包括但不限于以下功能:APP端控制，网口盲插；兼容技术包括但不限于:5G MIMO技术、2.4G MIMO技术；</w:t>
      </w:r>
    </w:p>
    <w:p w14:paraId="288563B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3.4 </w:t>
      </w:r>
      <w:r>
        <w:rPr>
          <w:rFonts w:hint="eastAsia" w:ascii="Times New Roman" w:hAnsi="Times New Roman" w:eastAsia="方正仿宋_GB2312" w:cs="仿宋"/>
          <w:b w:val="0"/>
          <w:bCs w:val="0"/>
          <w:iCs/>
          <w:sz w:val="24"/>
          <w:u w:val="none"/>
        </w:rPr>
        <w:t>无线协议≥WiFi 6；天线数量≥6根；无线速率≥4000M；</w:t>
      </w:r>
    </w:p>
    <w:p w14:paraId="24A1AF6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3.5 </w:t>
      </w:r>
      <w:r>
        <w:rPr>
          <w:rFonts w:hint="eastAsia" w:ascii="Times New Roman" w:hAnsi="Times New Roman" w:eastAsia="方正仿宋_GB2312" w:cs="仿宋"/>
          <w:b w:val="0"/>
          <w:bCs w:val="0"/>
          <w:iCs/>
          <w:sz w:val="24"/>
          <w:u w:val="none"/>
        </w:rPr>
        <w:t>群体VR学生互动教学仪可满足单套设备≥6人同时进行VR沉浸式学习，且具备合适操作空间，含≥6套VR运行支持设备；</w:t>
      </w:r>
    </w:p>
    <w:p w14:paraId="69B3620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3.6 </w:t>
      </w:r>
      <w:r>
        <w:rPr>
          <w:rFonts w:hint="eastAsia" w:ascii="Times New Roman" w:hAnsi="Times New Roman" w:eastAsia="方正仿宋_GB2312" w:cs="仿宋"/>
          <w:b w:val="0"/>
          <w:bCs w:val="0"/>
          <w:iCs/>
          <w:sz w:val="24"/>
          <w:u w:val="none"/>
        </w:rPr>
        <w:t>群体VR学生互动教学仪含≥6套沉浸式虚拟现实设备，屏幕类型:LCD；内存≥6G；串流功能:支持；手势识别：支持；串流方式:有线、WIFI；</w:t>
      </w:r>
    </w:p>
    <w:p w14:paraId="6BD6592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3.7 </w:t>
      </w:r>
      <w:r>
        <w:rPr>
          <w:rFonts w:hint="eastAsia" w:ascii="Times New Roman" w:hAnsi="Times New Roman" w:eastAsia="方正仿宋_GB2312" w:cs="仿宋"/>
          <w:b w:val="0"/>
          <w:bCs w:val="0"/>
          <w:iCs/>
          <w:sz w:val="24"/>
          <w:u w:val="none"/>
        </w:rPr>
        <w:t>手柄数量≥2个；手柄功能及传感器:手部6DoF空间定位，定位精度：≤1mm定位精确误差，运动延迟：≤2ms运动延迟，采样率：≥1000Hz采样率，数据输出速率≥1.5kHz，旋转精度：0.25°旋转精度；九轴姿态传感器；HyperSense振感：配备宽频线性马达，振频范围50-500Hz；支持全身追踪，延迟≤20ms，续航时间≥25h。</w:t>
      </w:r>
    </w:p>
    <w:p w14:paraId="1C82103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宋体"/>
          <w:b/>
          <w:bCs/>
          <w:sz w:val="24"/>
        </w:rPr>
      </w:pPr>
    </w:p>
    <w:p w14:paraId="78CD18F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仿宋"/>
          <w:b/>
          <w:bCs/>
          <w:iCs/>
          <w:sz w:val="24"/>
          <w:u w:val="none"/>
          <w:lang w:val="en-US" w:eastAsia="zh-CN"/>
        </w:rPr>
      </w:pPr>
      <w:r>
        <w:rPr>
          <w:rFonts w:hint="eastAsia" w:ascii="Times New Roman" w:hAnsi="Times New Roman" w:eastAsia="方正仿宋_GB2312" w:cs="宋体"/>
          <w:b/>
          <w:bCs/>
          <w:sz w:val="24"/>
        </w:rPr>
        <w:t>标的物</w:t>
      </w:r>
      <w:r>
        <w:rPr>
          <w:rFonts w:hint="eastAsia" w:ascii="Times New Roman" w:hAnsi="Times New Roman" w:eastAsia="方正仿宋_GB2312" w:cs="宋体"/>
          <w:b/>
          <w:bCs/>
          <w:sz w:val="24"/>
          <w:lang w:val="en-US" w:eastAsia="zh-CN"/>
        </w:rPr>
        <w:t>4</w:t>
      </w:r>
      <w:r>
        <w:rPr>
          <w:rFonts w:hint="eastAsia" w:ascii="Times New Roman" w:hAnsi="Times New Roman" w:eastAsia="方正仿宋_GB2312" w:cs="宋体"/>
          <w:b/>
          <w:bCs/>
          <w:sz w:val="24"/>
        </w:rPr>
        <w:t>：</w:t>
      </w:r>
      <w:r>
        <w:rPr>
          <w:rFonts w:hint="eastAsia" w:ascii="Times New Roman" w:hAnsi="Times New Roman" w:eastAsia="方正仿宋_GB2312" w:cs="宋体"/>
          <w:b/>
          <w:bCs/>
          <w:sz w:val="24"/>
          <w:lang w:val="en-US" w:eastAsia="zh-CN"/>
        </w:rPr>
        <w:t>学生端</w:t>
      </w:r>
      <w:r>
        <w:rPr>
          <w:rFonts w:hint="eastAsia" w:ascii="Times New Roman" w:hAnsi="Times New Roman" w:eastAsia="方正仿宋_GB2312" w:cs="仿宋"/>
          <w:b/>
          <w:bCs/>
          <w:iCs/>
          <w:sz w:val="24"/>
          <w:u w:val="none"/>
          <w:lang w:val="en-US" w:eastAsia="zh-CN"/>
        </w:rPr>
        <w:t>软件</w:t>
      </w:r>
    </w:p>
    <w:p w14:paraId="5B5134E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.1 适用IOS和Android系统；支持扫描二维码登录；与服务器双向通讯；实时同步教师示教端、沉浸式虚拟现实端考题，显示考题题干、选项，可进行作答并提交；</w:t>
      </w:r>
    </w:p>
    <w:p w14:paraId="348F8DE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color w:val="C00000"/>
          <w:sz w:val="24"/>
          <w:u w:val="none"/>
          <w:lang w:val="en-US" w:eastAsia="zh-CN"/>
        </w:rPr>
        <w:t>4</w:t>
      </w:r>
      <w:r>
        <w:rPr>
          <w:rFonts w:hint="eastAsia" w:ascii="Times New Roman" w:hAnsi="Times New Roman" w:eastAsia="方正仿宋_GB2312" w:cs="仿宋"/>
          <w:b w:val="0"/>
          <w:bCs w:val="0"/>
          <w:iCs/>
          <w:color w:val="C00000"/>
          <w:sz w:val="24"/>
          <w:u w:val="none"/>
        </w:rPr>
        <w:t xml:space="preserve">.2 </w:t>
      </w:r>
      <w:r>
        <w:rPr>
          <w:rFonts w:hint="eastAsia" w:ascii="Times New Roman" w:hAnsi="Times New Roman" w:eastAsia="方正仿宋_GB2312" w:cs="仿宋"/>
          <w:b w:val="0"/>
          <w:bCs w:val="0"/>
          <w:iCs/>
          <w:sz w:val="24"/>
          <w:u w:val="none"/>
        </w:rPr>
        <w:t>学生端软件可同步显示实验操作过程，结束实验时自动生成本人实验报告，实验报包含实验名称、实验教师；学院、专业、年级、班级、姓名、学号；实验目的、实验原理、实验步骤；理论测评题目、答案、得分，实验操作测评题目、答案、得分。（投标时需提供加盖投标人公章的系统功能界面截图，须包含本条参数的所有内容）。</w:t>
      </w:r>
    </w:p>
    <w:p w14:paraId="5851ECD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color w:val="C00000"/>
          <w:sz w:val="24"/>
          <w:u w:val="none"/>
          <w:lang w:val="en-US" w:eastAsia="zh-CN"/>
        </w:rPr>
        <w:t>4</w:t>
      </w:r>
      <w:r>
        <w:rPr>
          <w:rFonts w:hint="eastAsia" w:ascii="Times New Roman" w:hAnsi="Times New Roman" w:eastAsia="方正仿宋_GB2312" w:cs="仿宋"/>
          <w:b w:val="0"/>
          <w:bCs w:val="0"/>
          <w:iCs/>
          <w:color w:val="C00000"/>
          <w:sz w:val="24"/>
          <w:u w:val="none"/>
        </w:rPr>
        <w:t xml:space="preserve">.3 </w:t>
      </w:r>
      <w:r>
        <w:rPr>
          <w:rFonts w:hint="eastAsia" w:ascii="Times New Roman" w:hAnsi="Times New Roman" w:eastAsia="方正仿宋_GB2312" w:cs="仿宋"/>
          <w:b w:val="0"/>
          <w:bCs w:val="0"/>
          <w:iCs/>
          <w:sz w:val="24"/>
          <w:u w:val="none"/>
        </w:rPr>
        <w:t>支持PC、手机和平板端全功能访问，手机横屏可操作。课件载入和显示时间＜5秒；实验模块支持网页在线访问；按实验步骤问题计分，完成实验后支持在线查看结果，支持生成PDF格式实验报告（投标时需提供视频操作文件以证明投标产品具有上述功能）。</w:t>
      </w:r>
    </w:p>
    <w:p w14:paraId="4EFD9DF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.3.1 虚拟标准病人的二尖瓣狭窄临床与基础整合性虚拟仿真实验</w:t>
      </w:r>
    </w:p>
    <w:p w14:paraId="38D49C8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）实验场景≥1个，至少包括心内科病房场景；</w:t>
      </w:r>
    </w:p>
    <w:p w14:paraId="4490274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（2）相关实验素材≥30个，包括心脏、冠状动脉、肺脏、虚拟二尖瓣狭窄病人、二尖瓣球囊成形术等。</w:t>
      </w:r>
    </w:p>
    <w:p w14:paraId="04ADFDC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病史采集：现病史、既往史、个人史、家族史、婚姻史；体格检查：皮肤视诊、心脏听诊；辅助检查：胸部X片、超声心动图、心电图；临床诊断：入院诊断、鉴别诊断、诊断依据；入院治疗：一般治疗、药物治疗、手术治疗。</w:t>
      </w:r>
    </w:p>
    <w:p w14:paraId="5259B4F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.3.2 虚拟标准病人的肺动脉高压临床与基础整合性虚拟仿真实验</w:t>
      </w:r>
    </w:p>
    <w:p w14:paraId="553DD3A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）实验场景≥1个，至少包括内科病房场景；</w:t>
      </w:r>
    </w:p>
    <w:p w14:paraId="792C53C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（2）相关实验素材≥20个，包括肺脏、心脏、肺动脉、虚拟人、血管、体循环、虚拟肺动脉高压病人、二尖瓣球囊成形术等。</w:t>
      </w:r>
    </w:p>
    <w:p w14:paraId="10D4E1E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 xml:space="preserve">）案例导入：以视频形式展示肺动脉高压病人发病时情况，以及发病后病人的就诊经过。基础知识：以视频形式展示二尖瓣狭窄生理功能、发病机制、肺动脉高压、治疗机制。虚拟标准病人包括，病史采集：现病史、既往史、个人史、家族史、婚姻史；体格检查：视频、心脏听诊；辅助检查：胸部X片、超声心动图、心电图；临床诊断：入院诊断、鉴别诊断、诊断依据；入院治疗：一般治疗、药物治疗、手术治疗。（投标时需提供视频操作文件以证明可通过手机端登录并操作实验） </w:t>
      </w:r>
    </w:p>
    <w:p w14:paraId="1E8F0B9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.3.3 虚拟标准病人的高钾血症临床与基础整合性虚拟仿真实验</w:t>
      </w:r>
    </w:p>
    <w:p w14:paraId="3D4684A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）实验场景≥1个，至少包括内科病房场景；</w:t>
      </w:r>
    </w:p>
    <w:p w14:paraId="0E17A23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（2）相关实验素材≥20个，包括肺脏、心脏、肺动脉、虚拟人、血管、体循环、虚拟肺动脉高压病人、二尖瓣球囊成形术等。</w:t>
      </w:r>
    </w:p>
    <w:p w14:paraId="1A87E28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 xml:space="preserve">）案例导入：以视频形式展示肺动脉高压病人发病时情况，以及发病后病人的就诊经过。基础知识：以视频形式展示二尖瓣狭窄生理功能、发病机制、肺动脉高压、治疗机制。虚拟标准病人包括，病史采集：现病史、既往史、个人史、家族史、婚姻史；体格检查：视频、心脏听诊；辅助检查：胸部X片、超声心动图、心电图；临床诊断：入院诊断、鉴别诊断、诊断依据；入院治疗：一般治疗、药物治疗、手术治疗。 </w:t>
      </w:r>
    </w:p>
    <w:p w14:paraId="13CD1B6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.3.4 虚拟标准病人的高原性肺水肿临床与基础整合性虚拟仿真实验</w:t>
      </w:r>
    </w:p>
    <w:p w14:paraId="797BFBA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动物实验：动物实验为高原性肺水肿大鼠模型的建立，内容包括大鼠分组、标记大鼠、低压氧舱准备、捉拿大鼠、大鼠称重、麻醉大鼠、切开大鼠颈部及胸部、分离大鼠气管、收集大鼠肺泡灌洗液、离心灌洗液、剪断气管、取材、观察肺脏、肺脏形态、肺含水量、病理检查、氧化应激与验证因子、肺泡灌洗液蛋白检测。</w:t>
      </w:r>
    </w:p>
    <w:p w14:paraId="342FA2F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 xml:space="preserve">（2）虚拟标准病人包括，病史采集：现病史、既往史、个人史、家族史、婚姻史；体格检查：面部视诊、胸部视诊、胸部触诊、胸部叩诊、胸部听诊、心脏视诊、心脏听诊、双下肢检查；辅助检查：血常规、血气分析、胸部CT、心脏超声、BNP、心电图；临床诊断：入院诊断、鉴别诊断、诊断依据；入院治疗：吸氧、药物治疗。 </w:t>
      </w:r>
    </w:p>
    <w:p w14:paraId="0C3BDF0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.3.5 虚拟标准病人的急性乙醇中毒临床与基础整合性虚拟仿真实验</w:t>
      </w:r>
    </w:p>
    <w:p w14:paraId="3C4F194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）病史采集：现病史、既往史、个人史、家族史、婚姻史</w:t>
      </w:r>
    </w:p>
    <w:p w14:paraId="1526B5C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体格检查：体表检查、肺部听诊、意识状态检查、感觉检查、四肢肌力检查、巴彬斯基征检查。辅助检查：血常规、肝肾功、电解质、头颅CT等检查。临床诊断：入院诊断、鉴别诊断、诊断依据。入院治疗：抢救治疗、药物治疗、手术治疗。</w:t>
      </w:r>
    </w:p>
    <w:p w14:paraId="1BC470E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）本项目建立了医院病房为主要场景，并展示了消化道、虚拟病人、病床、心电监护多个模型。本项目交互步骤≥20步。</w:t>
      </w:r>
    </w:p>
    <w:p w14:paraId="4AA9033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.3.6 虚拟标准病人的脊髓损伤及其救治临床与基础整合性虚拟仿真实验</w:t>
      </w:r>
    </w:p>
    <w:p w14:paraId="3B168B0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）实验场景≥2个，至少包括机能学实验室、骨科病房场景；</w:t>
      </w:r>
    </w:p>
    <w:p w14:paraId="1A451A9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2</w:t>
      </w:r>
      <w:r>
        <w:rPr>
          <w:rFonts w:hint="eastAsia" w:ascii="Times New Roman" w:hAnsi="Times New Roman" w:eastAsia="方正仿宋_GB2312" w:cs="仿宋"/>
          <w:b w:val="0"/>
          <w:bCs w:val="0"/>
          <w:iCs/>
          <w:sz w:val="24"/>
          <w:u w:val="none"/>
        </w:rPr>
        <w:t>）相关实验素材≥30个，包括大鼠、鼠笼、天平、量筒、烧杯、搅拌棒、颅骨、脊柱、脊髓、脊神经、四肢骨、肋骨、脊髓灰质、脊髓白质、脑组织、虚拟病人等。</w:t>
      </w:r>
    </w:p>
    <w:p w14:paraId="4F6FC9C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动物实验：动物实验为大鼠脊髓损伤修复实验，内容包括实验前准备、自我防护、大鼠分组、术前行为学评分、麻药配置、大鼠捉拿、麻醉固定、手术位置选择、备皮、消毒、铺巾、剪开皮肤、拉开肌肉、剪开肌肉、切除棘突和椎板、脊髓打击器配置、实施打击、缝合伤口、消毒伤口、术后管理。虚拟标准病人包括，病史采集：现病史、既往史、个人史、家族史、婚姻史；体格检查：体表视诊、肺部听诊、意识状态检查、感觉检查、四肢肌力检查、巴彬斯基征检查；辅助检查：血胸部CT；临床诊断：入院诊断、鉴别诊断、诊断依据；入院治疗：抢救治疗、药物治疗、手术治疗。</w:t>
      </w:r>
    </w:p>
    <w:p w14:paraId="49A0AAA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.3.7 虚拟标准病人的慢性阻塞性肺疾病临床与基础整合性虚拟仿真实验</w:t>
      </w:r>
    </w:p>
    <w:p w14:paraId="5CCA659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）实验场景≥3个，至少包括机能学实验室、呼吸内科门诊场景、呼吸内科病房场景；</w:t>
      </w:r>
    </w:p>
    <w:p w14:paraId="70295CC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（2）相关实验素材≥30个，包括肺脏、肺泡、支气管、气管、虚拟病人、家兔、尼可刹米溶液、兔台、盐酸吗啡溶液、纳洛酮溶液等。</w:t>
      </w:r>
    </w:p>
    <w:p w14:paraId="1B13114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 xml:space="preserve">）动物实验：动物实验为呼吸实验虚拟仿真实训，内容包括实验前准备、家兔称重、家兔麻醉、家兔固定、颈部切口、钝性分离气管、气管插管、寻找颈动脉鞘、游离迷走神经、连接仪器、家兔呼吸运动的调节、吗啡对呼吸的抑制和解救。虚拟标准病人包括，病史采集：现病史、既往史、个人史、家族史、婚姻史；体格检查：胸部视诊、胸部听诊、胸部触诊、胸部叩诊、心脏听诊、颈静脉检查、双下肢触诊；辅助检查：血常规、血气分析、肺功能检查-前、肺功能检查-后、X线检查、心电图检查；临床诊断：入院诊断、检查结果汇总；入院治疗：吸氧治疗、氧流量选择。 </w:t>
      </w:r>
    </w:p>
    <w:p w14:paraId="744407D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.3.8 虚拟标准病人的弥散性血管内凝血（DIC）临床与基础整合性虚拟仿真实验</w:t>
      </w:r>
    </w:p>
    <w:p w14:paraId="5585D8D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）实验场景≥1个，至少包括儿科病房场景；</w:t>
      </w:r>
    </w:p>
    <w:p w14:paraId="75EA267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（2）相关实验素材≥30个，包括手部、刀具、红细胞、血小板、凝血因子、酶、纤维蛋白、血栓、血管、蛋白、虚拟弥散性血管内凝血病人、呼吸机、气管插管、心电监护等。</w:t>
      </w:r>
    </w:p>
    <w:p w14:paraId="41D7BEE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 xml:space="preserve">）病史采集：现病史、既往史、个人史、家族史；体格检查：皮肤出血点检查、淋巴结检查、腹部视诊、腹部触诊、肝脏触诊、脾脏触诊、肺部叩诊、腹部听诊；辅助检查：血常规、血生化、凝血功能、C反应蛋白、3P实验、ATIII、FDP、血气分析；临床诊断：入院诊断、鉴别诊断、诊断依据；入院治疗：入院治疗、抢救治疗、药物治疗、介入治疗。 </w:t>
      </w:r>
    </w:p>
    <w:p w14:paraId="3CA4DF6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.3.9 虚拟标准病人的缺血性脑卒中临床与基础整合性虚拟仿真实验</w:t>
      </w:r>
    </w:p>
    <w:p w14:paraId="4DB337A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）实验场景≥1个，至少包括神经内科病房；</w:t>
      </w:r>
    </w:p>
    <w:p w14:paraId="3CE242E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（2）相关实验素材≥20个，包括脑组织、颅骨、蛛网膜、血管、红细胞、血栓、脑细胞、钾离子、钠离子、导丝、虚拟病人等。</w:t>
      </w:r>
    </w:p>
    <w:p w14:paraId="72F1BA6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 xml:space="preserve">）虚拟标准病人包括，病史采集：现病史、既往史、个人史、家族史、婚姻史；体格检查：头部视诊、肌力检查、巴彬斯基征检查；辅助检查：血常规、肝肾功、电解质、凝血功能、头颅CT；临床诊断：入院诊断、鉴别诊断、诊断依据；入院治疗：一般治疗、药物治疗、手术治疗。 </w:t>
      </w:r>
    </w:p>
    <w:p w14:paraId="12B11AB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.3.10 虚拟标准病人的下肢骨折临床与基础整合性虚拟仿真实验</w:t>
      </w:r>
    </w:p>
    <w:p w14:paraId="5B5D37E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）实验场景≥1个，至少包括骨科病房；</w:t>
      </w:r>
    </w:p>
    <w:p w14:paraId="4FF735E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（2）相关实验素材≥20个，包括股骨、骨质、白细胞、肉芽组织、血管、神经、虚拟病人等。虚拟标准病人包括，</w:t>
      </w:r>
    </w:p>
    <w:p w14:paraId="216242F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病史采集：现病史、既往史、个人史、家族史、婚姻史；体格检查：肺部听诊、肢体视诊、肢体触诊、肢体叩诊、关节活动检查；辅助检查：血常规、血液生化、凝血四项、血型、X光片、心电图；临床诊断：入院诊断、鉴别诊断、诊断依据；入院治疗：一般治疗、药物治疗、手术治疗。</w:t>
      </w:r>
    </w:p>
    <w:p w14:paraId="35ED883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.3.11 虚拟标准病人的心肌肥厚高血压临床与基础整合性虚拟仿真实验</w:t>
      </w:r>
    </w:p>
    <w:p w14:paraId="11F67E6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）实验场景≥1个，至少包括心内科病房场景；</w:t>
      </w:r>
    </w:p>
    <w:p w14:paraId="4B9F5E5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（2）相关实验素材≥20个，包括心脏、心肌细胞、横小管、肌质网、线粒体、肌球蛋白、肌钙蛋白、虚拟病人等。</w:t>
      </w:r>
    </w:p>
    <w:p w14:paraId="720A14E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虚拟标准病人包括，病史采集：现病史、既往史、个人史、家族史、婚姻史；体格检查：心脏听诊、心脏叩诊、肾区叩诊、四肢触诊；辅助检查：血常规、尿常规、血液生化、胸部正位片、心脏超声、心电图；临床诊断：入院诊断、鉴别诊断、诊断依据；入院治疗：一般治疗、药物治疗。</w:t>
      </w:r>
    </w:p>
    <w:p w14:paraId="0D92EF0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.3.12 虚拟标准病人的新生儿缺血缺氧性脑病临床与基础整合性虚拟仿真实验</w:t>
      </w:r>
    </w:p>
    <w:p w14:paraId="22AA09F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）实验场景≥2个，至少包括机能学实验室、心内科病房场景；</w:t>
      </w:r>
    </w:p>
    <w:p w14:paraId="33FA9E2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（2）相关实验素材≥30个，包括大脑、心脏、氧气、葡萄糖、虚拟新生儿缺血缺氧性脑病病人、大鼠、Morris水迷宫、注射器等。</w:t>
      </w:r>
    </w:p>
    <w:p w14:paraId="1035E37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动物实验：动物实验为缺血缺氧性脑病动物模型的建立及神经修复相关指标检测，内容包括大鼠分组、大鼠麻醉、麻醉深度检测、大鼠固定、颈部结扎、分离左侧劲总动脉、置于缺氧箱、训练大鼠、切开大鼠颅骨、安装坐标、检查大鼠脑组织、大鼠脑组织免疫组化。虚拟标准病人包括，病史采集；体格检查：意识检查、瞳孔检查、呼吸检查、原始反射检查；辅助检查：颅脑超声、头颅CT、头颅MRI；临床诊断：入院诊断、鉴别诊断；入院治疗：支持治疗、控制惊厥、治疗脑水肿、康复治疗、心肺复苏。 （投标时需提供视频操作文件以证明可通过手机端登录并操作实验）</w:t>
      </w:r>
    </w:p>
    <w:p w14:paraId="10E88B0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.3.13 虚拟标准病人的乙型肝炎临床与基础整合性虚拟仿真实验</w:t>
      </w:r>
    </w:p>
    <w:p w14:paraId="64B9342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）实验场景≥1个，至少包括传染病病房；</w:t>
      </w:r>
    </w:p>
    <w:p w14:paraId="0DFB717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（2）相关实验素材≥20个，包括正常肝脏、血管、胆囊、乙肝病毒、肝硬化肝脏、颅脑、肝细胞、虚拟病人等。</w:t>
      </w:r>
    </w:p>
    <w:p w14:paraId="5F883B9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 xml:space="preserve">）案例导入：以视频形式展示乙型病毒性肝炎发病机制、流行病学知识，以及患者患病时情况，以及发病后病人的就诊经过。知识回顾：以视频形式展示乙型病毒性肝炎相关的肝脏生理知识、发病机制、肝硬化、肝性脑病、药物治疗知识。虚拟标准病人包括，病史采集：现病史、既往史、个人史、家族史、婚姻史；体格检查：皮肤视诊、腹部视诊、腹部触诊、腹部叩诊；辅助检查：血常规、肝肾功、电解质、凝血功能、心电图、乙肝标志物检测；临床诊断：入院诊断、鉴别诊断、诊断依据；入院治疗：一般治疗、抗病毒治疗、护肝治疗、手术治疗。 </w:t>
      </w:r>
    </w:p>
    <w:p w14:paraId="48D9B2B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.3.14 虚拟标准病人的有机磷中毒临床与基础整合性虚拟仿真实验</w:t>
      </w:r>
    </w:p>
    <w:p w14:paraId="5A42069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）病史采集：现病史、既往史、个人史、家族史、婚姻史；</w:t>
      </w:r>
    </w:p>
    <w:p w14:paraId="467DDA6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（2）体格检查：体表检查、肺部听诊、意识状态检查、感觉检查、四肢肌力检查、巴彬斯基征检查。</w:t>
      </w:r>
    </w:p>
    <w:p w14:paraId="0224314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）辅助检查：血常规、肝肾功、电解质、腹部CT等检查。临床诊断：入院诊断、鉴别诊断、诊断依据。入院治疗：抢救治疗、药物治疗、手术治疗。</w:t>
      </w:r>
    </w:p>
    <w:p w14:paraId="1E6D417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本项目建立了医院病房为主要场景，并展示了神经、肌肉、传导通路、虚拟病人、病床、心电监护多个模型。本项目交互步骤≥20步。</w:t>
      </w:r>
    </w:p>
    <w:p w14:paraId="300983A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4</w:t>
      </w:r>
      <w:r>
        <w:rPr>
          <w:rFonts w:hint="eastAsia" w:ascii="Times New Roman" w:hAnsi="Times New Roman" w:eastAsia="方正仿宋_GB2312" w:cs="仿宋"/>
          <w:b w:val="0"/>
          <w:bCs w:val="0"/>
          <w:iCs/>
          <w:sz w:val="24"/>
          <w:u w:val="none"/>
        </w:rPr>
        <w:t>.3.15 虚拟标准病人的重症肌无力临床与基础整合性虚拟仿真实验</w:t>
      </w:r>
    </w:p>
    <w:p w14:paraId="1C45CB5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1</w:t>
      </w:r>
      <w:r>
        <w:rPr>
          <w:rFonts w:hint="eastAsia" w:ascii="Times New Roman" w:hAnsi="Times New Roman" w:eastAsia="方正仿宋_GB2312" w:cs="仿宋"/>
          <w:b w:val="0"/>
          <w:bCs w:val="0"/>
          <w:iCs/>
          <w:sz w:val="24"/>
          <w:u w:val="none"/>
        </w:rPr>
        <w:t>）实验场景≥2个，至少包括机能学实验室、神经内科病房；</w:t>
      </w:r>
    </w:p>
    <w:p w14:paraId="4C43E09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（2）相关实验素材mm≥30个，包括蟾蜍、毁髓针、粗剪刀、组织剪、组织镊、锌铜弓、玻璃分针、神经肌肉接头、肌节、虚拟病人等。</w:t>
      </w:r>
    </w:p>
    <w:p w14:paraId="1ECE253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ascii="Times New Roman" w:hAnsi="Times New Roman" w:eastAsia="方正仿宋_GB2312" w:cs="仿宋"/>
          <w:b w:val="0"/>
          <w:bCs w:val="0"/>
          <w:iCs/>
          <w:sz w:val="24"/>
          <w:u w:val="none"/>
        </w:rPr>
        <w:t>（</w:t>
      </w:r>
      <w:r>
        <w:rPr>
          <w:rFonts w:hint="eastAsia" w:eastAsia="方正仿宋_GB2312" w:cs="仿宋"/>
          <w:b w:val="0"/>
          <w:bCs w:val="0"/>
          <w:iCs/>
          <w:sz w:val="24"/>
          <w:u w:val="none"/>
          <w:lang w:val="en-US" w:eastAsia="zh-CN"/>
        </w:rPr>
        <w:t>3</w:t>
      </w:r>
      <w:r>
        <w:rPr>
          <w:rFonts w:hint="eastAsia" w:ascii="Times New Roman" w:hAnsi="Times New Roman" w:eastAsia="方正仿宋_GB2312" w:cs="仿宋"/>
          <w:b w:val="0"/>
          <w:bCs w:val="0"/>
          <w:iCs/>
          <w:sz w:val="24"/>
          <w:u w:val="none"/>
        </w:rPr>
        <w:t xml:space="preserve">）动物实验：动物实验为骨骼肌终板电位的测定与观察，内容包括实验前准备、蟾蜍的捉拿、枕骨大孔定位、破坏脑和脊髓、检查脑和脊髓的破坏程度、去除头部、躯干和内脏、剥离皮肤、分离两腿、分离坐骨神经、分离缝匠肌、分离坐m骨神经-缝匠肌分支、游离坐骨神经-缝匠肌分支、检查标本兴奋性、连接实验器材、终板区定位、项目观察、实验波形。虚拟标准病人包括，病史采集：现病史、既往史、个人史、家族史、婚姻史；体格检查：肌肉外观检查、肌力检查、巴彬斯基征检查；辅助检查：新斯的明实验、肌电图检查、血清抗体检测、胸部CT；临床诊断：入院诊断、鉴别诊断、诊断依据；入院治疗：胆碱酯酶抑制剂、糖皮质激素、胸腺瘤切除术、呼吸机辅助呼吸。 </w:t>
      </w:r>
    </w:p>
    <w:p w14:paraId="22CB1D9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宋体"/>
          <w:b/>
          <w:bCs/>
          <w:sz w:val="24"/>
        </w:rPr>
      </w:pPr>
    </w:p>
    <w:p w14:paraId="111504FD">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Times New Roman"/>
          <w:b/>
          <w:bCs/>
          <w:sz w:val="24"/>
          <w:szCs w:val="24"/>
          <w:lang w:val="en-US" w:eastAsia="zh-CN"/>
        </w:rPr>
      </w:pPr>
      <w:r>
        <w:rPr>
          <w:rFonts w:hint="eastAsia" w:ascii="Times New Roman" w:hAnsi="Times New Roman" w:eastAsia="方正仿宋_GB2312" w:cs="宋体"/>
          <w:b/>
          <w:bCs/>
          <w:sz w:val="24"/>
        </w:rPr>
        <w:t>标的物</w:t>
      </w:r>
      <w:r>
        <w:rPr>
          <w:rFonts w:hint="eastAsia" w:ascii="Times New Roman" w:hAnsi="Times New Roman" w:eastAsia="方正仿宋_GB2312" w:cs="宋体"/>
          <w:b/>
          <w:bCs/>
          <w:sz w:val="24"/>
          <w:lang w:val="en-US" w:eastAsia="zh-CN"/>
        </w:rPr>
        <w:t>5</w:t>
      </w:r>
      <w:r>
        <w:rPr>
          <w:rFonts w:hint="eastAsia" w:ascii="Times New Roman" w:hAnsi="Times New Roman" w:eastAsia="方正仿宋_GB2312" w:cs="宋体"/>
          <w:b/>
          <w:bCs/>
          <w:sz w:val="24"/>
        </w:rPr>
        <w:t>：</w:t>
      </w:r>
      <w:r>
        <w:rPr>
          <w:rFonts w:hint="eastAsia" w:ascii="Times New Roman" w:hAnsi="Times New Roman" w:eastAsia="方正仿宋_GB2312" w:cs="Times New Roman"/>
          <w:b/>
          <w:bCs/>
          <w:sz w:val="24"/>
          <w:szCs w:val="24"/>
        </w:rPr>
        <w:t>信息展示端</w:t>
      </w:r>
      <w:r>
        <w:rPr>
          <w:rFonts w:hint="eastAsia" w:ascii="Times New Roman" w:hAnsi="Times New Roman" w:eastAsia="方正仿宋_GB2312" w:cs="Times New Roman"/>
          <w:b/>
          <w:bCs/>
          <w:sz w:val="24"/>
          <w:szCs w:val="24"/>
          <w:lang w:val="en-US" w:eastAsia="zh-CN"/>
        </w:rPr>
        <w:t>硬件</w:t>
      </w:r>
    </w:p>
    <w:p w14:paraId="36D2F97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5</w:t>
      </w:r>
      <w:r>
        <w:rPr>
          <w:rFonts w:hint="eastAsia" w:ascii="Times New Roman" w:hAnsi="Times New Roman" w:eastAsia="方正仿宋_GB2312" w:cs="仿宋"/>
          <w:b w:val="0"/>
          <w:bCs w:val="0"/>
          <w:iCs/>
          <w:sz w:val="24"/>
          <w:u w:val="none"/>
        </w:rPr>
        <w:t>.1 采用防眩光全钢化玻璃屏，且表面硬度≥7H，透光率≥90%，雾度≤5%；</w:t>
      </w:r>
    </w:p>
    <w:p w14:paraId="20B25AD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5.2 </w:t>
      </w:r>
      <w:r>
        <w:rPr>
          <w:rFonts w:hint="eastAsia" w:ascii="Times New Roman" w:hAnsi="Times New Roman" w:eastAsia="方正仿宋_GB2312" w:cs="仿宋"/>
          <w:b w:val="0"/>
          <w:bCs w:val="0"/>
          <w:iCs/>
          <w:sz w:val="24"/>
          <w:u w:val="none"/>
        </w:rPr>
        <w:t>同时触控点数≥10点，触摸高度≤2.5m；</w:t>
      </w:r>
    </w:p>
    <w:p w14:paraId="4B51631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5.3 </w:t>
      </w:r>
      <w:r>
        <w:rPr>
          <w:rFonts w:hint="eastAsia" w:ascii="Times New Roman" w:hAnsi="Times New Roman" w:eastAsia="方正仿宋_GB2312" w:cs="仿宋"/>
          <w:b w:val="0"/>
          <w:bCs w:val="0"/>
          <w:iCs/>
          <w:sz w:val="24"/>
          <w:u w:val="none"/>
        </w:rPr>
        <w:t>整机前置USB3.0≥3个、HDMI接口≥1个；</w:t>
      </w:r>
    </w:p>
    <w:p w14:paraId="229B86B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5.4 </w:t>
      </w:r>
      <w:r>
        <w:rPr>
          <w:rFonts w:hint="eastAsia" w:ascii="Times New Roman" w:hAnsi="Times New Roman" w:eastAsia="方正仿宋_GB2312" w:cs="仿宋"/>
          <w:b w:val="0"/>
          <w:bCs w:val="0"/>
          <w:iCs/>
          <w:sz w:val="24"/>
          <w:u w:val="none"/>
        </w:rPr>
        <w:t>显示亮度≥150cd/m²，屏幕寿命≥10万小时；</w:t>
      </w:r>
    </w:p>
    <w:p w14:paraId="26FE346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5.5</w:t>
      </w:r>
      <w:r>
        <w:rPr>
          <w:rFonts w:hint="eastAsia" w:ascii="Times New Roman" w:hAnsi="Times New Roman" w:eastAsia="方正仿宋_GB2312" w:cs="仿宋"/>
          <w:b w:val="0"/>
          <w:bCs w:val="0"/>
          <w:iCs/>
          <w:sz w:val="24"/>
          <w:u w:val="none"/>
        </w:rPr>
        <w:t xml:space="preserve"> 维护功能包括但不限于系统一键还原、一键呼出系统设置、系统检测、信号源预览等功能；</w:t>
      </w:r>
    </w:p>
    <w:p w14:paraId="7D646EC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5.6</w:t>
      </w:r>
      <w:r>
        <w:rPr>
          <w:rFonts w:hint="eastAsia" w:ascii="Times New Roman" w:hAnsi="Times New Roman" w:eastAsia="方正仿宋_GB2312" w:cs="仿宋"/>
          <w:b w:val="0"/>
          <w:bCs w:val="0"/>
          <w:iCs/>
          <w:sz w:val="24"/>
          <w:u w:val="none"/>
        </w:rPr>
        <w:t>安全检测功能包括但不限于智能温控，高温预警，断电保护设备等；</w:t>
      </w:r>
    </w:p>
    <w:p w14:paraId="7FE286B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 xml:space="preserve">5.7 </w:t>
      </w:r>
      <w:r>
        <w:rPr>
          <w:rFonts w:hint="eastAsia" w:ascii="Times New Roman" w:hAnsi="Times New Roman" w:eastAsia="方正仿宋_GB2312" w:cs="仿宋"/>
          <w:b w:val="0"/>
          <w:bCs w:val="0"/>
          <w:iCs/>
          <w:sz w:val="24"/>
          <w:u w:val="none"/>
        </w:rPr>
        <w:t>整机兼容安卓系统的Android主板ROM≥8G，RAM≥1G，版本≥Android6.0。</w:t>
      </w:r>
    </w:p>
    <w:p w14:paraId="5AD2275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宋体"/>
          <w:b/>
          <w:bCs/>
          <w:sz w:val="24"/>
        </w:rPr>
      </w:pPr>
    </w:p>
    <w:p w14:paraId="387A013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Times New Roman"/>
          <w:b/>
          <w:bCs/>
          <w:sz w:val="24"/>
          <w:szCs w:val="24"/>
          <w:lang w:val="en-US" w:eastAsia="zh-CN"/>
        </w:rPr>
      </w:pPr>
      <w:r>
        <w:rPr>
          <w:rFonts w:hint="eastAsia" w:ascii="Times New Roman" w:hAnsi="Times New Roman" w:eastAsia="方正仿宋_GB2312" w:cs="宋体"/>
          <w:b/>
          <w:bCs/>
          <w:sz w:val="24"/>
        </w:rPr>
        <w:t>标的物</w:t>
      </w:r>
      <w:r>
        <w:rPr>
          <w:rFonts w:hint="eastAsia" w:ascii="Times New Roman" w:hAnsi="Times New Roman" w:eastAsia="方正仿宋_GB2312" w:cs="宋体"/>
          <w:b/>
          <w:bCs/>
          <w:sz w:val="24"/>
          <w:lang w:val="en-US" w:eastAsia="zh-CN"/>
        </w:rPr>
        <w:t>6</w:t>
      </w:r>
      <w:r>
        <w:rPr>
          <w:rFonts w:hint="eastAsia" w:ascii="Times New Roman" w:hAnsi="Times New Roman" w:eastAsia="方正仿宋_GB2312" w:cs="宋体"/>
          <w:b/>
          <w:bCs/>
          <w:sz w:val="24"/>
        </w:rPr>
        <w:t>：</w:t>
      </w:r>
      <w:r>
        <w:rPr>
          <w:rFonts w:hint="eastAsia" w:ascii="Times New Roman" w:hAnsi="Times New Roman" w:eastAsia="方正仿宋_GB2312" w:cs="Times New Roman"/>
          <w:b/>
          <w:bCs/>
          <w:sz w:val="24"/>
          <w:szCs w:val="24"/>
        </w:rPr>
        <w:t>信息展示端</w:t>
      </w:r>
      <w:r>
        <w:rPr>
          <w:rFonts w:hint="eastAsia" w:ascii="Times New Roman" w:hAnsi="Times New Roman" w:eastAsia="方正仿宋_GB2312" w:cs="Times New Roman"/>
          <w:b/>
          <w:bCs/>
          <w:sz w:val="24"/>
          <w:szCs w:val="24"/>
          <w:lang w:val="en-US" w:eastAsia="zh-CN"/>
        </w:rPr>
        <w:t>软件</w:t>
      </w:r>
    </w:p>
    <w:p w14:paraId="58D3789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6</w:t>
      </w:r>
      <w:r>
        <w:rPr>
          <w:rFonts w:hint="eastAsia" w:ascii="Times New Roman" w:hAnsi="Times New Roman" w:eastAsia="方正仿宋_GB2312" w:cs="仿宋"/>
          <w:b w:val="0"/>
          <w:bCs w:val="0"/>
          <w:iCs/>
          <w:sz w:val="24"/>
          <w:u w:val="none"/>
        </w:rPr>
        <w:t>.1 可与服务器双向通讯，可同步接收服务器、教师示教端下发数据；</w:t>
      </w:r>
    </w:p>
    <w:p w14:paraId="2616322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6</w:t>
      </w:r>
      <w:r>
        <w:rPr>
          <w:rFonts w:hint="eastAsia" w:ascii="Times New Roman" w:hAnsi="Times New Roman" w:eastAsia="方正仿宋_GB2312" w:cs="仿宋"/>
          <w:b w:val="0"/>
          <w:bCs w:val="0"/>
          <w:iCs/>
          <w:sz w:val="24"/>
          <w:u w:val="none"/>
        </w:rPr>
        <w:t>.2 显示课程主界面，呈现学生登录二维码，具有动态点名功能；具有动态答题统计功能，实时统计学生答题选项；</w:t>
      </w:r>
    </w:p>
    <w:p w14:paraId="1E55C7B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sz w:val="24"/>
          <w:u w:val="none"/>
          <w:lang w:val="en-US" w:eastAsia="zh-CN"/>
        </w:rPr>
        <w:t>6</w:t>
      </w:r>
      <w:r>
        <w:rPr>
          <w:rFonts w:hint="eastAsia" w:ascii="Times New Roman" w:hAnsi="Times New Roman" w:eastAsia="方正仿宋_GB2312" w:cs="仿宋"/>
          <w:b w:val="0"/>
          <w:bCs w:val="0"/>
          <w:iCs/>
          <w:sz w:val="24"/>
          <w:u w:val="none"/>
        </w:rPr>
        <w:t>.3 具有答题评价功能，呈现测试题正确答案、答案解析，并统计正确率；实时同步实验操作步骤，在实验结束时对班级实验数据进行统计；</w:t>
      </w:r>
    </w:p>
    <w:p w14:paraId="3DA9B81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r>
        <w:rPr>
          <w:rFonts w:hint="eastAsia" w:eastAsia="方正仿宋_GB2312" w:cs="仿宋"/>
          <w:b w:val="0"/>
          <w:bCs w:val="0"/>
          <w:iCs/>
          <w:color w:val="C00000"/>
          <w:sz w:val="24"/>
          <w:u w:val="none"/>
          <w:lang w:val="en-US" w:eastAsia="zh-CN"/>
        </w:rPr>
        <w:t>6</w:t>
      </w:r>
      <w:r>
        <w:rPr>
          <w:rFonts w:hint="eastAsia" w:ascii="Times New Roman" w:hAnsi="Times New Roman" w:eastAsia="方正仿宋_GB2312" w:cs="仿宋"/>
          <w:b w:val="0"/>
          <w:bCs w:val="0"/>
          <w:iCs/>
          <w:color w:val="C00000"/>
          <w:sz w:val="24"/>
          <w:u w:val="none"/>
        </w:rPr>
        <w:t>.4</w:t>
      </w:r>
      <w:r>
        <w:rPr>
          <w:rFonts w:hint="eastAsia" w:ascii="Times New Roman" w:hAnsi="Times New Roman" w:eastAsia="方正仿宋_GB2312" w:cs="仿宋"/>
          <w:b w:val="0"/>
          <w:bCs w:val="0"/>
          <w:iCs/>
          <w:sz w:val="24"/>
          <w:u w:val="none"/>
        </w:rPr>
        <w:t xml:space="preserve"> 呈现实验教学大纲，包含实验目的、实验原理（投标时需提供加盖投标人公章的系统功能界面截图，须包含本条所有内容）。</w:t>
      </w:r>
    </w:p>
    <w:p w14:paraId="49544A0D">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宋体"/>
          <w:b/>
          <w:bCs/>
          <w:sz w:val="24"/>
        </w:rPr>
      </w:pPr>
    </w:p>
    <w:p w14:paraId="15E6220F">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Times New Roman"/>
          <w:b/>
          <w:bCs/>
          <w:sz w:val="24"/>
          <w:szCs w:val="24"/>
          <w:lang w:val="en-US" w:eastAsia="zh-CN"/>
        </w:rPr>
      </w:pPr>
      <w:r>
        <w:rPr>
          <w:rFonts w:hint="eastAsia" w:ascii="Times New Roman" w:hAnsi="Times New Roman" w:eastAsia="方正仿宋_GB2312" w:cs="宋体"/>
          <w:b/>
          <w:bCs/>
          <w:sz w:val="24"/>
        </w:rPr>
        <w:t>标的物</w:t>
      </w:r>
      <w:r>
        <w:rPr>
          <w:rFonts w:hint="eastAsia" w:ascii="Times New Roman" w:hAnsi="Times New Roman" w:eastAsia="方正仿宋_GB2312" w:cs="宋体"/>
          <w:b/>
          <w:bCs/>
          <w:sz w:val="24"/>
          <w:lang w:val="en-US" w:eastAsia="zh-CN"/>
        </w:rPr>
        <w:t>7</w:t>
      </w:r>
      <w:r>
        <w:rPr>
          <w:rFonts w:hint="eastAsia" w:ascii="Times New Roman" w:hAnsi="Times New Roman" w:eastAsia="方正仿宋_GB2312" w:cs="宋体"/>
          <w:b/>
          <w:bCs/>
          <w:sz w:val="24"/>
        </w:rPr>
        <w:t>：</w:t>
      </w:r>
      <w:r>
        <w:rPr>
          <w:rFonts w:hint="eastAsia" w:ascii="Times New Roman" w:hAnsi="Times New Roman" w:eastAsia="方正仿宋_GB2312" w:cs="Times New Roman"/>
          <w:b/>
          <w:bCs/>
          <w:sz w:val="24"/>
          <w:szCs w:val="24"/>
        </w:rPr>
        <w:t>数据服务器端</w:t>
      </w:r>
      <w:r>
        <w:rPr>
          <w:rFonts w:hint="eastAsia" w:ascii="Times New Roman" w:hAnsi="Times New Roman" w:eastAsia="方正仿宋_GB2312" w:cs="Times New Roman"/>
          <w:b/>
          <w:bCs/>
          <w:sz w:val="24"/>
          <w:szCs w:val="24"/>
          <w:lang w:val="en-US" w:eastAsia="zh-CN"/>
        </w:rPr>
        <w:t>硬件</w:t>
      </w:r>
    </w:p>
    <w:p w14:paraId="2B0B9BB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r>
        <w:rPr>
          <w:rFonts w:hint="eastAsia" w:eastAsia="方正仿宋_GB2312" w:cs="Times New Roman"/>
          <w:b w:val="0"/>
          <w:bCs w:val="0"/>
          <w:sz w:val="24"/>
          <w:szCs w:val="24"/>
          <w:lang w:val="en-US" w:eastAsia="zh-CN"/>
        </w:rPr>
        <w:t>7</w:t>
      </w:r>
      <w:r>
        <w:rPr>
          <w:rFonts w:hint="eastAsia" w:ascii="Times New Roman" w:hAnsi="Times New Roman" w:eastAsia="方正仿宋_GB2312" w:cs="Times New Roman"/>
          <w:b w:val="0"/>
          <w:bCs w:val="0"/>
          <w:sz w:val="24"/>
          <w:szCs w:val="24"/>
          <w:lang w:val="en-US" w:eastAsia="zh-CN"/>
        </w:rPr>
        <w:t>.1 提供群体教学数据服务器，主频≥1.7Ghz，核心数量≥4核；内存≥64G DDR4，频率≥2400Mhz；硬盘≥6T，固态硬盘≥1T；</w:t>
      </w:r>
    </w:p>
    <w:p w14:paraId="087F56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r>
        <w:rPr>
          <w:rFonts w:hint="eastAsia" w:eastAsia="方正仿宋_GB2312" w:cs="Times New Roman"/>
          <w:b w:val="0"/>
          <w:bCs w:val="0"/>
          <w:sz w:val="24"/>
          <w:szCs w:val="24"/>
          <w:lang w:val="en-US" w:eastAsia="zh-CN"/>
        </w:rPr>
        <w:t>7</w:t>
      </w:r>
      <w:r>
        <w:rPr>
          <w:rFonts w:hint="eastAsia" w:ascii="Times New Roman" w:hAnsi="Times New Roman" w:eastAsia="方正仿宋_GB2312" w:cs="Times New Roman"/>
          <w:b w:val="0"/>
          <w:bCs w:val="0"/>
          <w:sz w:val="24"/>
          <w:szCs w:val="24"/>
          <w:lang w:val="en-US" w:eastAsia="zh-CN"/>
        </w:rPr>
        <w:t>.2 交换机上行端口速率≥1000Mbps，下行端口速率≥1000Mbps，端口数量≥48口，交换容量：432Gbps/4.32Tbps，包转发率≥162Mpps，固定端口：48个10/100/1000Base-T以太网端口；4个千兆SFP，输入电压：100V AC-240V AC；50/60Hz，最大功耗：50.4W；业务口防雷：±10kV；</w:t>
      </w:r>
    </w:p>
    <w:p w14:paraId="2E5555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r>
        <w:rPr>
          <w:rFonts w:hint="eastAsia" w:eastAsia="方正仿宋_GB2312" w:cs="Times New Roman"/>
          <w:b w:val="0"/>
          <w:bCs w:val="0"/>
          <w:sz w:val="24"/>
          <w:szCs w:val="24"/>
          <w:lang w:val="en-US" w:eastAsia="zh-CN"/>
        </w:rPr>
        <w:t>7</w:t>
      </w:r>
      <w:r>
        <w:rPr>
          <w:rFonts w:hint="eastAsia" w:ascii="Times New Roman" w:hAnsi="Times New Roman" w:eastAsia="方正仿宋_GB2312" w:cs="Times New Roman"/>
          <w:b w:val="0"/>
          <w:bCs w:val="0"/>
          <w:sz w:val="24"/>
          <w:szCs w:val="24"/>
          <w:lang w:val="en-US" w:eastAsia="zh-CN"/>
        </w:rPr>
        <w:t>.3 网络控制器控制单位≥ 10个AP， 配备≥5个GE接口，</w:t>
      </w:r>
    </w:p>
    <w:p w14:paraId="793BE73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r>
        <w:rPr>
          <w:rFonts w:hint="eastAsia" w:eastAsia="方正仿宋_GB2312" w:cs="Times New Roman"/>
          <w:b w:val="0"/>
          <w:bCs w:val="0"/>
          <w:sz w:val="24"/>
          <w:szCs w:val="24"/>
          <w:lang w:val="en-US" w:eastAsia="zh-CN"/>
        </w:rPr>
        <w:t>7</w:t>
      </w:r>
      <w:r>
        <w:rPr>
          <w:rFonts w:hint="eastAsia" w:ascii="Times New Roman" w:hAnsi="Times New Roman" w:eastAsia="方正仿宋_GB2312" w:cs="Times New Roman"/>
          <w:b w:val="0"/>
          <w:bCs w:val="0"/>
          <w:sz w:val="24"/>
          <w:szCs w:val="24"/>
          <w:lang w:val="en-US" w:eastAsia="zh-CN"/>
        </w:rPr>
        <w:t>.4 高密AP发射功率≥20dBm，接口包括但不限于1GE+1IOT，支持模式包括但不限于802.11ac Wave2，本地供电：支持54V DC，可调功率粒度：1dBm；MTBF：≥850000H；</w:t>
      </w:r>
    </w:p>
    <w:p w14:paraId="5874A7D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r>
        <w:rPr>
          <w:rFonts w:hint="eastAsia" w:eastAsia="方正仿宋_GB2312" w:cs="Times New Roman"/>
          <w:b w:val="0"/>
          <w:bCs w:val="0"/>
          <w:sz w:val="24"/>
          <w:szCs w:val="24"/>
          <w:lang w:val="en-US" w:eastAsia="zh-CN"/>
        </w:rPr>
        <w:t>7</w:t>
      </w:r>
      <w:r>
        <w:rPr>
          <w:rFonts w:hint="eastAsia" w:ascii="Times New Roman" w:hAnsi="Times New Roman" w:eastAsia="方正仿宋_GB2312" w:cs="Times New Roman"/>
          <w:b w:val="0"/>
          <w:bCs w:val="0"/>
          <w:sz w:val="24"/>
          <w:szCs w:val="24"/>
          <w:lang w:val="en-US" w:eastAsia="zh-CN"/>
        </w:rPr>
        <w:t>.5 提供网络设备容纳机柜，容量≥32U;宽≥600mm;深≥1000mm;高≥1600mm；</w:t>
      </w:r>
    </w:p>
    <w:p w14:paraId="79C199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p>
    <w:p w14:paraId="5E8CB2A1">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imes New Roman" w:hAnsi="Times New Roman" w:eastAsia="方正仿宋_GB2312" w:cs="Times New Roman"/>
          <w:b/>
          <w:bCs/>
          <w:sz w:val="24"/>
          <w:szCs w:val="24"/>
          <w:lang w:val="en-US" w:eastAsia="zh-CN"/>
        </w:rPr>
      </w:pPr>
      <w:r>
        <w:rPr>
          <w:rFonts w:hint="eastAsia" w:ascii="Times New Roman" w:hAnsi="Times New Roman" w:eastAsia="方正仿宋_GB2312" w:cs="宋体"/>
          <w:b/>
          <w:bCs/>
          <w:sz w:val="24"/>
        </w:rPr>
        <w:t>标的物</w:t>
      </w:r>
      <w:r>
        <w:rPr>
          <w:rFonts w:hint="eastAsia" w:ascii="Times New Roman" w:hAnsi="Times New Roman" w:eastAsia="方正仿宋_GB2312" w:cs="宋体"/>
          <w:b/>
          <w:bCs/>
          <w:sz w:val="24"/>
          <w:lang w:val="en-US" w:eastAsia="zh-CN"/>
        </w:rPr>
        <w:t>8</w:t>
      </w:r>
      <w:r>
        <w:rPr>
          <w:rFonts w:hint="eastAsia" w:ascii="Times New Roman" w:hAnsi="Times New Roman" w:eastAsia="方正仿宋_GB2312" w:cs="宋体"/>
          <w:b/>
          <w:bCs/>
          <w:sz w:val="24"/>
        </w:rPr>
        <w:t>：</w:t>
      </w:r>
      <w:r>
        <w:rPr>
          <w:rFonts w:hint="eastAsia" w:ascii="Times New Roman" w:hAnsi="Times New Roman" w:eastAsia="方正仿宋_GB2312" w:cs="Times New Roman"/>
          <w:b/>
          <w:bCs/>
          <w:sz w:val="24"/>
          <w:szCs w:val="24"/>
        </w:rPr>
        <w:t>数据服务器端</w:t>
      </w:r>
      <w:r>
        <w:rPr>
          <w:rFonts w:hint="eastAsia" w:ascii="Times New Roman" w:hAnsi="Times New Roman" w:eastAsia="方正仿宋_GB2312" w:cs="Times New Roman"/>
          <w:b/>
          <w:bCs/>
          <w:sz w:val="24"/>
          <w:szCs w:val="24"/>
          <w:lang w:val="en-US" w:eastAsia="zh-CN"/>
        </w:rPr>
        <w:t>软件</w:t>
      </w:r>
    </w:p>
    <w:p w14:paraId="5B02BCD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r>
        <w:rPr>
          <w:rFonts w:hint="eastAsia" w:eastAsia="方正仿宋_GB2312" w:cs="Times New Roman"/>
          <w:b w:val="0"/>
          <w:bCs w:val="0"/>
          <w:sz w:val="24"/>
          <w:szCs w:val="24"/>
          <w:lang w:val="en-US" w:eastAsia="zh-CN"/>
        </w:rPr>
        <w:t>8</w:t>
      </w:r>
      <w:r>
        <w:rPr>
          <w:rFonts w:hint="eastAsia" w:ascii="Times New Roman" w:hAnsi="Times New Roman" w:eastAsia="方正仿宋_GB2312" w:cs="Times New Roman"/>
          <w:b w:val="0"/>
          <w:bCs w:val="0"/>
          <w:sz w:val="24"/>
          <w:szCs w:val="24"/>
          <w:lang w:val="en-US" w:eastAsia="zh-CN"/>
        </w:rPr>
        <w:t>.1 可使互动教室内的学生端、教师示教端、沉浸式虚拟现实端、信息展示端等设备同步连接并使用；</w:t>
      </w:r>
    </w:p>
    <w:p w14:paraId="5755D37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r>
        <w:rPr>
          <w:rFonts w:hint="eastAsia" w:eastAsia="方正仿宋_GB2312" w:cs="Times New Roman"/>
          <w:b w:val="0"/>
          <w:bCs w:val="0"/>
          <w:sz w:val="24"/>
          <w:szCs w:val="24"/>
          <w:lang w:val="en-US" w:eastAsia="zh-CN"/>
        </w:rPr>
        <w:t>8</w:t>
      </w:r>
      <w:r>
        <w:rPr>
          <w:rFonts w:hint="eastAsia" w:ascii="Times New Roman" w:hAnsi="Times New Roman" w:eastAsia="方正仿宋_GB2312" w:cs="Times New Roman"/>
          <w:b w:val="0"/>
          <w:bCs w:val="0"/>
          <w:sz w:val="24"/>
          <w:szCs w:val="24"/>
          <w:lang w:val="en-US" w:eastAsia="zh-CN"/>
        </w:rPr>
        <w:t>.2 具备完善的课程、组织结构、人员数据库；可进行一键式上课，也可供老师修改、编辑课程；具备完整的课堂体系，包含动态点名、实验讲解、实验操作、实验测试、实验报告等；支持群体电脑终端同时学习，支持小组讨论式手机终端同时学习；</w:t>
      </w:r>
    </w:p>
    <w:p w14:paraId="5F12587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r>
        <w:rPr>
          <w:rFonts w:hint="eastAsia" w:eastAsia="方正仿宋_GB2312" w:cs="Times New Roman"/>
          <w:b w:val="0"/>
          <w:bCs w:val="0"/>
          <w:color w:val="C00000"/>
          <w:sz w:val="24"/>
          <w:szCs w:val="24"/>
          <w:lang w:val="en-US" w:eastAsia="zh-CN"/>
        </w:rPr>
        <w:t>8</w:t>
      </w:r>
      <w:r>
        <w:rPr>
          <w:rFonts w:hint="eastAsia" w:ascii="Times New Roman" w:hAnsi="Times New Roman" w:eastAsia="方正仿宋_GB2312" w:cs="Times New Roman"/>
          <w:b w:val="0"/>
          <w:bCs w:val="0"/>
          <w:color w:val="C00000"/>
          <w:sz w:val="24"/>
          <w:szCs w:val="24"/>
          <w:lang w:val="en-US" w:eastAsia="zh-CN"/>
        </w:rPr>
        <w:t xml:space="preserve">.3 </w:t>
      </w:r>
      <w:r>
        <w:rPr>
          <w:rFonts w:hint="eastAsia" w:ascii="Times New Roman" w:hAnsi="Times New Roman" w:eastAsia="方正仿宋_GB2312" w:cs="Times New Roman"/>
          <w:b w:val="0"/>
          <w:bCs w:val="0"/>
          <w:sz w:val="24"/>
          <w:szCs w:val="24"/>
          <w:lang w:val="en-US" w:eastAsia="zh-CN"/>
        </w:rPr>
        <w:t>具备完整的课程体系</w:t>
      </w:r>
      <w:bookmarkStart w:id="1" w:name="_GoBack"/>
      <w:bookmarkEnd w:id="1"/>
      <w:r>
        <w:rPr>
          <w:rFonts w:hint="eastAsia" w:ascii="Times New Roman" w:hAnsi="Times New Roman" w:eastAsia="方正仿宋_GB2312" w:cs="Times New Roman"/>
          <w:b w:val="0"/>
          <w:bCs w:val="0"/>
          <w:sz w:val="24"/>
          <w:szCs w:val="24"/>
          <w:lang w:val="en-US" w:eastAsia="zh-CN"/>
        </w:rPr>
        <w:t>，包含课程名称、任教老师、理论知识、实验大纲、实验操作、测试题（投标时需提供加盖投标人公章的系统功能界面截图，须包含本条所有内容）。</w:t>
      </w:r>
    </w:p>
    <w:p w14:paraId="5B7FFAB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r>
        <w:rPr>
          <w:rFonts w:hint="eastAsia" w:eastAsia="方正仿宋_GB2312" w:cs="Times New Roman"/>
          <w:b w:val="0"/>
          <w:bCs w:val="0"/>
          <w:sz w:val="24"/>
          <w:szCs w:val="24"/>
          <w:lang w:val="en-US" w:eastAsia="zh-CN"/>
        </w:rPr>
        <w:t>8</w:t>
      </w:r>
      <w:r>
        <w:rPr>
          <w:rFonts w:hint="eastAsia" w:ascii="Times New Roman" w:hAnsi="Times New Roman" w:eastAsia="方正仿宋_GB2312" w:cs="Times New Roman"/>
          <w:b w:val="0"/>
          <w:bCs w:val="0"/>
          <w:sz w:val="24"/>
          <w:szCs w:val="24"/>
          <w:lang w:val="en-US" w:eastAsia="zh-CN"/>
        </w:rPr>
        <w:t>.4 同步向信息展示端、教师示教端发布实验课大纲，包含实验目的、实验原理、实验步骤等内容；同步学生手机端、教师示教端、信息展示端发布理论测试题；向教师示教端、信息展示端发布正确答案、答案解析、正确率分析；</w:t>
      </w:r>
    </w:p>
    <w:p w14:paraId="2BA4641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方正仿宋_GB2312" w:cs="Times New Roman"/>
          <w:b w:val="0"/>
          <w:bCs w:val="0"/>
          <w:sz w:val="24"/>
          <w:szCs w:val="24"/>
          <w:lang w:val="en-US" w:eastAsia="zh-CN"/>
        </w:rPr>
      </w:pPr>
      <w:r>
        <w:rPr>
          <w:rFonts w:hint="eastAsia" w:eastAsia="方正仿宋_GB2312" w:cs="Times New Roman"/>
          <w:b w:val="0"/>
          <w:bCs w:val="0"/>
          <w:sz w:val="24"/>
          <w:szCs w:val="24"/>
          <w:lang w:val="en-US" w:eastAsia="zh-CN"/>
        </w:rPr>
        <w:t>8</w:t>
      </w:r>
      <w:r>
        <w:rPr>
          <w:rFonts w:hint="eastAsia" w:ascii="Times New Roman" w:hAnsi="Times New Roman" w:eastAsia="方正仿宋_GB2312" w:cs="Times New Roman"/>
          <w:b w:val="0"/>
          <w:bCs w:val="0"/>
          <w:sz w:val="24"/>
          <w:szCs w:val="24"/>
          <w:lang w:val="en-US" w:eastAsia="zh-CN"/>
        </w:rPr>
        <w:t>.5 课程数据库：包含课程名称、教师、实验原理、实验目的、实验步骤、理论试题、虚拟实验试题、选项、选项内容、正确答案、答案解析；</w:t>
      </w:r>
    </w:p>
    <w:p w14:paraId="39A1F1B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方正仿宋_GB2312" w:cs="仿宋"/>
          <w:b w:val="0"/>
          <w:bCs w:val="0"/>
          <w:iCs/>
          <w:sz w:val="24"/>
          <w:u w:val="none"/>
        </w:rPr>
      </w:pPr>
    </w:p>
    <w:sectPr>
      <w:pgSz w:w="11906" w:h="16838"/>
      <w:pgMar w:top="1247" w:right="1247" w:bottom="1247"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A6A04D3-126B-4F02-AD1B-6661994D2C1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汉仪楷体简">
    <w:altName w:val="宋体"/>
    <w:panose1 w:val="02010600000101010101"/>
    <w:charset w:val="86"/>
    <w:family w:val="auto"/>
    <w:pitch w:val="default"/>
    <w:sig w:usb0="00000000" w:usb1="00000000" w:usb2="00000002" w:usb3="00000000" w:csb0="00040000" w:csb1="00000000"/>
  </w:font>
  <w:font w:name="仿宋">
    <w:panose1 w:val="02010609060101010101"/>
    <w:charset w:val="86"/>
    <w:family w:val="modern"/>
    <w:pitch w:val="default"/>
    <w:sig w:usb0="800002BF" w:usb1="38CF7CFA" w:usb2="00000016" w:usb3="00000000" w:csb0="00040001" w:csb1="00000000"/>
    <w:embedRegular r:id="rId2" w:fontKey="{1A0827D8-D0F2-4C69-933E-1649B7CD8DDC}"/>
  </w:font>
  <w:font w:name="方正仿宋_GB2312">
    <w:panose1 w:val="02000000000000000000"/>
    <w:charset w:val="86"/>
    <w:family w:val="auto"/>
    <w:pitch w:val="default"/>
    <w:sig w:usb0="A00002BF" w:usb1="184F6CFA" w:usb2="00000012" w:usb3="00000000" w:csb0="00040001" w:csb1="00000000"/>
    <w:embedRegular r:id="rId3" w:fontKey="{A2163F2B-26B7-4067-8CC1-50741779A7F4}"/>
  </w:font>
  <w:font w:name="方正粗黑宋简体">
    <w:altName w:val="宋体"/>
    <w:panose1 w:val="00000000000000000000"/>
    <w:charset w:val="86"/>
    <w:family w:val="auto"/>
    <w:pitch w:val="default"/>
    <w:sig w:usb0="00000000" w:usb1="00000000" w:usb2="00000012" w:usb3="00000000" w:csb0="00040001" w:csb1="00000000"/>
    <w:embedRegular r:id="rId4" w:fontKey="{279C6E06-4430-4C88-B702-3094FC3903A3}"/>
  </w:font>
  <w:font w:name="汉仪书宋二KW">
    <w:altName w:val="宋体"/>
    <w:panose1 w:val="00020600040101010101"/>
    <w:charset w:val="86"/>
    <w:family w:val="auto"/>
    <w:pitch w:val="default"/>
    <w:sig w:usb0="00000000" w:usb1="00000000" w:usb2="00000016"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CEE946"/>
    <w:multiLevelType w:val="multilevel"/>
    <w:tmpl w:val="C8CEE946"/>
    <w:lvl w:ilvl="0" w:tentative="0">
      <w:start w:val="1"/>
      <w:numFmt w:val="decimal"/>
      <w:pStyle w:val="2"/>
      <w:lvlText w:val="%1"/>
      <w:lvlJc w:val="left"/>
      <w:pPr>
        <w:tabs>
          <w:tab w:val="left" w:pos="0"/>
        </w:tabs>
        <w:ind w:left="425" w:hanging="425"/>
      </w:pPr>
      <w:rPr>
        <w:rFonts w:hint="eastAsia" w:eastAsia="黑体"/>
        <w:sz w:val="30"/>
        <w:szCs w:val="30"/>
      </w:rPr>
    </w:lvl>
    <w:lvl w:ilvl="1" w:tentative="0">
      <w:start w:val="1"/>
      <w:numFmt w:val="decimal"/>
      <w:pStyle w:val="3"/>
      <w:lvlText w:val="%1.%2"/>
      <w:lvlJc w:val="left"/>
      <w:pPr>
        <w:tabs>
          <w:tab w:val="left" w:pos="0"/>
        </w:tabs>
        <w:ind w:left="3829" w:hanging="142"/>
      </w:pPr>
      <w:rPr>
        <w:rFonts w:hint="eastAsia"/>
      </w:rPr>
    </w:lvl>
    <w:lvl w:ilvl="2" w:tentative="0">
      <w:start w:val="1"/>
      <w:numFmt w:val="decimal"/>
      <w:pStyle w:val="4"/>
      <w:lvlText w:val="%1.%2.%3"/>
      <w:lvlJc w:val="left"/>
      <w:pPr>
        <w:tabs>
          <w:tab w:val="left" w:pos="0"/>
        </w:tabs>
        <w:ind w:left="851" w:firstLine="0"/>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lvlText w:val="%1.%2.%3.%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E5ODFlNDJkMmRlMDE1YTExMGRkZGM5Nzk0OGNmZjMifQ=="/>
    <w:docVar w:name="KSO_WPS_MARK_KEY" w:val="f1a1dccb-9789-4a2c-b505-259547dd3759"/>
  </w:docVars>
  <w:rsids>
    <w:rsidRoot w:val="00944110"/>
    <w:rsid w:val="000C209D"/>
    <w:rsid w:val="00576538"/>
    <w:rsid w:val="00850109"/>
    <w:rsid w:val="00944110"/>
    <w:rsid w:val="00B02DFA"/>
    <w:rsid w:val="00B93539"/>
    <w:rsid w:val="00BB0153"/>
    <w:rsid w:val="00E37941"/>
    <w:rsid w:val="00EA2CAA"/>
    <w:rsid w:val="00F33EAE"/>
    <w:rsid w:val="00FF50B4"/>
    <w:rsid w:val="01512EAC"/>
    <w:rsid w:val="017E1B50"/>
    <w:rsid w:val="02623074"/>
    <w:rsid w:val="02B65FCB"/>
    <w:rsid w:val="02C35ADD"/>
    <w:rsid w:val="05204541"/>
    <w:rsid w:val="062C41B1"/>
    <w:rsid w:val="064A5AF8"/>
    <w:rsid w:val="065C5751"/>
    <w:rsid w:val="067F52D3"/>
    <w:rsid w:val="06954A18"/>
    <w:rsid w:val="07726BE5"/>
    <w:rsid w:val="08CE0793"/>
    <w:rsid w:val="092109FC"/>
    <w:rsid w:val="09572537"/>
    <w:rsid w:val="09893EC2"/>
    <w:rsid w:val="09AE330C"/>
    <w:rsid w:val="09B60064"/>
    <w:rsid w:val="0A2264AF"/>
    <w:rsid w:val="0A8452CE"/>
    <w:rsid w:val="0AFE253F"/>
    <w:rsid w:val="0B1B1342"/>
    <w:rsid w:val="0B2874A3"/>
    <w:rsid w:val="0B9A5436"/>
    <w:rsid w:val="0C382148"/>
    <w:rsid w:val="0C3C3C66"/>
    <w:rsid w:val="0C41432A"/>
    <w:rsid w:val="0C612F26"/>
    <w:rsid w:val="0CBB2C8C"/>
    <w:rsid w:val="0D3D37F2"/>
    <w:rsid w:val="0D3E1384"/>
    <w:rsid w:val="0D4B59D5"/>
    <w:rsid w:val="0DB92B81"/>
    <w:rsid w:val="0E6F3E7F"/>
    <w:rsid w:val="0F7C3CF9"/>
    <w:rsid w:val="100131FC"/>
    <w:rsid w:val="10D24ADA"/>
    <w:rsid w:val="10FB7C4C"/>
    <w:rsid w:val="116D5911"/>
    <w:rsid w:val="1202325C"/>
    <w:rsid w:val="12096716"/>
    <w:rsid w:val="12E75305"/>
    <w:rsid w:val="147C267C"/>
    <w:rsid w:val="15604521"/>
    <w:rsid w:val="16B31F7C"/>
    <w:rsid w:val="16FE2244"/>
    <w:rsid w:val="170E1FCD"/>
    <w:rsid w:val="188A0B21"/>
    <w:rsid w:val="18B52DD6"/>
    <w:rsid w:val="18CB43A7"/>
    <w:rsid w:val="194853DA"/>
    <w:rsid w:val="1A206975"/>
    <w:rsid w:val="1A68032B"/>
    <w:rsid w:val="1AC437A4"/>
    <w:rsid w:val="1B57312E"/>
    <w:rsid w:val="1BBA462B"/>
    <w:rsid w:val="1BC8476F"/>
    <w:rsid w:val="1BFB41D7"/>
    <w:rsid w:val="1C24274C"/>
    <w:rsid w:val="1C443EC5"/>
    <w:rsid w:val="1CBE0B8E"/>
    <w:rsid w:val="1CC10932"/>
    <w:rsid w:val="1CDA0CDB"/>
    <w:rsid w:val="1D4B7A55"/>
    <w:rsid w:val="1DE657E0"/>
    <w:rsid w:val="1DEC327B"/>
    <w:rsid w:val="1E4013D0"/>
    <w:rsid w:val="1E8C282B"/>
    <w:rsid w:val="1E960EF2"/>
    <w:rsid w:val="1ED54DF8"/>
    <w:rsid w:val="1F1330A4"/>
    <w:rsid w:val="1F2F366E"/>
    <w:rsid w:val="1F505A5A"/>
    <w:rsid w:val="1F762018"/>
    <w:rsid w:val="1FA86760"/>
    <w:rsid w:val="1FCB7ACF"/>
    <w:rsid w:val="20104A4D"/>
    <w:rsid w:val="204D1A8C"/>
    <w:rsid w:val="207C2BD7"/>
    <w:rsid w:val="20C946BF"/>
    <w:rsid w:val="21650A7D"/>
    <w:rsid w:val="21C5052E"/>
    <w:rsid w:val="220821C8"/>
    <w:rsid w:val="22177031"/>
    <w:rsid w:val="22F15352"/>
    <w:rsid w:val="23604ED1"/>
    <w:rsid w:val="23A67EE1"/>
    <w:rsid w:val="24E20169"/>
    <w:rsid w:val="24E84445"/>
    <w:rsid w:val="25266FA1"/>
    <w:rsid w:val="26B26BA7"/>
    <w:rsid w:val="270F994F"/>
    <w:rsid w:val="27894998"/>
    <w:rsid w:val="28333D17"/>
    <w:rsid w:val="283613B2"/>
    <w:rsid w:val="28C875C5"/>
    <w:rsid w:val="2A103474"/>
    <w:rsid w:val="2A3A313B"/>
    <w:rsid w:val="2B2C517A"/>
    <w:rsid w:val="2B7F75C2"/>
    <w:rsid w:val="2CAD680C"/>
    <w:rsid w:val="2CB36D9E"/>
    <w:rsid w:val="2D8E1515"/>
    <w:rsid w:val="2E950180"/>
    <w:rsid w:val="2F0A3A24"/>
    <w:rsid w:val="30F25C0D"/>
    <w:rsid w:val="323A5350"/>
    <w:rsid w:val="325F4087"/>
    <w:rsid w:val="32D26D05"/>
    <w:rsid w:val="331E2E42"/>
    <w:rsid w:val="33B704BF"/>
    <w:rsid w:val="34775E10"/>
    <w:rsid w:val="34C03D4C"/>
    <w:rsid w:val="34C358E9"/>
    <w:rsid w:val="351E0C2F"/>
    <w:rsid w:val="3559310B"/>
    <w:rsid w:val="36F40B16"/>
    <w:rsid w:val="37143F54"/>
    <w:rsid w:val="37C72E95"/>
    <w:rsid w:val="37EE37B7"/>
    <w:rsid w:val="388C3284"/>
    <w:rsid w:val="388F0AF6"/>
    <w:rsid w:val="38AA0773"/>
    <w:rsid w:val="39134EF5"/>
    <w:rsid w:val="39184F8F"/>
    <w:rsid w:val="39416CA7"/>
    <w:rsid w:val="395D6E46"/>
    <w:rsid w:val="39DFAAC8"/>
    <w:rsid w:val="3A2A4F7A"/>
    <w:rsid w:val="3AC0768C"/>
    <w:rsid w:val="3B0A0908"/>
    <w:rsid w:val="3B6A5B31"/>
    <w:rsid w:val="3B847AED"/>
    <w:rsid w:val="3BA70F12"/>
    <w:rsid w:val="3BB45F21"/>
    <w:rsid w:val="3C85070A"/>
    <w:rsid w:val="3CB87039"/>
    <w:rsid w:val="3CC248F7"/>
    <w:rsid w:val="3DAC5C2F"/>
    <w:rsid w:val="3DCE2DB9"/>
    <w:rsid w:val="3E602051"/>
    <w:rsid w:val="3EB33DE9"/>
    <w:rsid w:val="3EBB363A"/>
    <w:rsid w:val="3EDD7849"/>
    <w:rsid w:val="3EF35BAF"/>
    <w:rsid w:val="3F80388E"/>
    <w:rsid w:val="3FD172C4"/>
    <w:rsid w:val="405939A2"/>
    <w:rsid w:val="40887534"/>
    <w:rsid w:val="412F10C8"/>
    <w:rsid w:val="41456B3D"/>
    <w:rsid w:val="42970D8D"/>
    <w:rsid w:val="4300617B"/>
    <w:rsid w:val="438C45B0"/>
    <w:rsid w:val="45702E6A"/>
    <w:rsid w:val="46437D17"/>
    <w:rsid w:val="471452B2"/>
    <w:rsid w:val="47F74508"/>
    <w:rsid w:val="48691363"/>
    <w:rsid w:val="48F84495"/>
    <w:rsid w:val="49A90669"/>
    <w:rsid w:val="49CA3055"/>
    <w:rsid w:val="49F805EB"/>
    <w:rsid w:val="4A387E4E"/>
    <w:rsid w:val="4A667FF3"/>
    <w:rsid w:val="4A914BA1"/>
    <w:rsid w:val="4AB871EC"/>
    <w:rsid w:val="4C2A35FF"/>
    <w:rsid w:val="4C46376A"/>
    <w:rsid w:val="4C5B7215"/>
    <w:rsid w:val="4C650094"/>
    <w:rsid w:val="4D587BF8"/>
    <w:rsid w:val="4E707B99"/>
    <w:rsid w:val="4F6912D1"/>
    <w:rsid w:val="4FA70F0B"/>
    <w:rsid w:val="50097BE8"/>
    <w:rsid w:val="501555F2"/>
    <w:rsid w:val="508B27D7"/>
    <w:rsid w:val="50C27EE7"/>
    <w:rsid w:val="51165E00"/>
    <w:rsid w:val="51EF13BD"/>
    <w:rsid w:val="51FF5A41"/>
    <w:rsid w:val="529E32B0"/>
    <w:rsid w:val="52B818BF"/>
    <w:rsid w:val="52F263F9"/>
    <w:rsid w:val="530536F4"/>
    <w:rsid w:val="53065A01"/>
    <w:rsid w:val="533802B0"/>
    <w:rsid w:val="53883FED"/>
    <w:rsid w:val="53AA2830"/>
    <w:rsid w:val="54D60273"/>
    <w:rsid w:val="54D9161F"/>
    <w:rsid w:val="54E16725"/>
    <w:rsid w:val="556A04C9"/>
    <w:rsid w:val="56611E44"/>
    <w:rsid w:val="56E05B37"/>
    <w:rsid w:val="5724766C"/>
    <w:rsid w:val="57536E52"/>
    <w:rsid w:val="57AA3FE2"/>
    <w:rsid w:val="57CA524F"/>
    <w:rsid w:val="57D336EE"/>
    <w:rsid w:val="581C4E79"/>
    <w:rsid w:val="58AE4F0C"/>
    <w:rsid w:val="5A144EA7"/>
    <w:rsid w:val="5B9774A3"/>
    <w:rsid w:val="5BE05F16"/>
    <w:rsid w:val="5C7566EB"/>
    <w:rsid w:val="5C8A0B78"/>
    <w:rsid w:val="5CA16EC6"/>
    <w:rsid w:val="5D7C2400"/>
    <w:rsid w:val="5DDF0212"/>
    <w:rsid w:val="5DE371F5"/>
    <w:rsid w:val="5E367E09"/>
    <w:rsid w:val="5E507BEF"/>
    <w:rsid w:val="5E5F58ED"/>
    <w:rsid w:val="5EB6477F"/>
    <w:rsid w:val="5F8C0E8E"/>
    <w:rsid w:val="5FB73E32"/>
    <w:rsid w:val="60536729"/>
    <w:rsid w:val="6078689C"/>
    <w:rsid w:val="60A31B19"/>
    <w:rsid w:val="61243C22"/>
    <w:rsid w:val="61466BE4"/>
    <w:rsid w:val="61BC4BA6"/>
    <w:rsid w:val="62145A44"/>
    <w:rsid w:val="62D82F16"/>
    <w:rsid w:val="63321EE8"/>
    <w:rsid w:val="63510402"/>
    <w:rsid w:val="640B02B0"/>
    <w:rsid w:val="64531AA9"/>
    <w:rsid w:val="646D52A5"/>
    <w:rsid w:val="64D44868"/>
    <w:rsid w:val="65643473"/>
    <w:rsid w:val="65896749"/>
    <w:rsid w:val="658D7CD8"/>
    <w:rsid w:val="65E02720"/>
    <w:rsid w:val="66D034EE"/>
    <w:rsid w:val="674A06FA"/>
    <w:rsid w:val="677D6693"/>
    <w:rsid w:val="67FFBB05"/>
    <w:rsid w:val="684311DA"/>
    <w:rsid w:val="686801EE"/>
    <w:rsid w:val="687155F6"/>
    <w:rsid w:val="68E32E4E"/>
    <w:rsid w:val="6AEA5C76"/>
    <w:rsid w:val="6B00062F"/>
    <w:rsid w:val="6B15282D"/>
    <w:rsid w:val="6B2807B2"/>
    <w:rsid w:val="6B2E39CE"/>
    <w:rsid w:val="6BA27780"/>
    <w:rsid w:val="6BE97F42"/>
    <w:rsid w:val="6C515AE7"/>
    <w:rsid w:val="6C5A602B"/>
    <w:rsid w:val="6C6A4146"/>
    <w:rsid w:val="6CA94E9B"/>
    <w:rsid w:val="6DB34D25"/>
    <w:rsid w:val="6E82642B"/>
    <w:rsid w:val="6E8A551C"/>
    <w:rsid w:val="6EA27F90"/>
    <w:rsid w:val="6EDF4CC2"/>
    <w:rsid w:val="700C57F2"/>
    <w:rsid w:val="70795EEE"/>
    <w:rsid w:val="71791D68"/>
    <w:rsid w:val="7262048A"/>
    <w:rsid w:val="727A0312"/>
    <w:rsid w:val="72BB3E30"/>
    <w:rsid w:val="72E74AAF"/>
    <w:rsid w:val="72EE1713"/>
    <w:rsid w:val="73487016"/>
    <w:rsid w:val="73A638C0"/>
    <w:rsid w:val="74376A06"/>
    <w:rsid w:val="74CE7486"/>
    <w:rsid w:val="74F55BA9"/>
    <w:rsid w:val="755C7E14"/>
    <w:rsid w:val="763B4498"/>
    <w:rsid w:val="77634F18"/>
    <w:rsid w:val="77937F22"/>
    <w:rsid w:val="77C655DB"/>
    <w:rsid w:val="78287FB0"/>
    <w:rsid w:val="788A485A"/>
    <w:rsid w:val="78CE53D0"/>
    <w:rsid w:val="78D32916"/>
    <w:rsid w:val="791B3704"/>
    <w:rsid w:val="796A5940"/>
    <w:rsid w:val="79BF0C4D"/>
    <w:rsid w:val="79C93D69"/>
    <w:rsid w:val="79E47F9A"/>
    <w:rsid w:val="7B2A0046"/>
    <w:rsid w:val="7B4E3BC9"/>
    <w:rsid w:val="7B690757"/>
    <w:rsid w:val="7BC2255D"/>
    <w:rsid w:val="7BD9095B"/>
    <w:rsid w:val="7C472A8B"/>
    <w:rsid w:val="7D5563A5"/>
    <w:rsid w:val="7E461224"/>
    <w:rsid w:val="7FC200DA"/>
    <w:rsid w:val="B3FB870D"/>
    <w:rsid w:val="CFFF5E19"/>
    <w:rsid w:val="D8BB7A14"/>
    <w:rsid w:val="FBFF4507"/>
    <w:rsid w:val="FDF07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numPr>
        <w:ilvl w:val="0"/>
        <w:numId w:val="1"/>
      </w:numPr>
      <w:spacing w:before="340" w:after="330" w:line="576" w:lineRule="auto"/>
      <w:outlineLvl w:val="0"/>
    </w:pPr>
    <w:rPr>
      <w:b/>
      <w:kern w:val="44"/>
      <w:sz w:val="44"/>
    </w:rPr>
  </w:style>
  <w:style w:type="paragraph" w:styleId="3">
    <w:name w:val="heading 2"/>
    <w:basedOn w:val="1"/>
    <w:next w:val="1"/>
    <w:autoRedefine/>
    <w:qFormat/>
    <w:uiPriority w:val="0"/>
    <w:pPr>
      <w:keepNext/>
      <w:keepLines/>
      <w:numPr>
        <w:ilvl w:val="1"/>
        <w:numId w:val="1"/>
      </w:numPr>
      <w:spacing w:before="260" w:after="260" w:line="360" w:lineRule="auto"/>
      <w:jc w:val="left"/>
      <w:outlineLvl w:val="1"/>
    </w:pPr>
    <w:rPr>
      <w:rFonts w:ascii="Arial" w:hAnsi="Arial" w:eastAsia="黑体"/>
      <w:b/>
      <w:bCs/>
      <w:sz w:val="28"/>
      <w:szCs w:val="32"/>
    </w:rPr>
  </w:style>
  <w:style w:type="paragraph" w:styleId="4">
    <w:name w:val="heading 3"/>
    <w:basedOn w:val="1"/>
    <w:next w:val="1"/>
    <w:autoRedefine/>
    <w:qFormat/>
    <w:uiPriority w:val="0"/>
    <w:pPr>
      <w:keepNext/>
      <w:keepLines/>
      <w:numPr>
        <w:ilvl w:val="2"/>
        <w:numId w:val="1"/>
      </w:numPr>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39"/>
    <w:autoRedefine/>
    <w:qFormat/>
    <w:uiPriority w:val="0"/>
    <w:pPr>
      <w:widowControl/>
      <w:ind w:firstLine="420"/>
      <w:jc w:val="left"/>
    </w:pPr>
    <w:rPr>
      <w:kern w:val="0"/>
      <w:sz w:val="20"/>
      <w:szCs w:val="20"/>
    </w:rPr>
  </w:style>
  <w:style w:type="paragraph" w:styleId="6">
    <w:name w:val="annotation text"/>
    <w:basedOn w:val="1"/>
    <w:autoRedefine/>
    <w:qFormat/>
    <w:uiPriority w:val="0"/>
    <w:pPr>
      <w:jc w:val="left"/>
    </w:pPr>
  </w:style>
  <w:style w:type="paragraph" w:styleId="7">
    <w:name w:val="Body Text"/>
    <w:basedOn w:val="1"/>
    <w:next w:val="1"/>
    <w:autoRedefine/>
    <w:qFormat/>
    <w:uiPriority w:val="0"/>
    <w:pPr>
      <w:spacing w:after="120"/>
    </w:pPr>
    <w:rPr>
      <w:kern w:val="0"/>
      <w:sz w:val="20"/>
    </w:rPr>
  </w:style>
  <w:style w:type="paragraph" w:styleId="8">
    <w:name w:val="Body Text Indent"/>
    <w:basedOn w:val="1"/>
    <w:link w:val="40"/>
    <w:autoRedefine/>
    <w:qFormat/>
    <w:uiPriority w:val="0"/>
    <w:pPr>
      <w:spacing w:after="120"/>
      <w:ind w:left="200" w:leftChars="200"/>
    </w:pPr>
  </w:style>
  <w:style w:type="paragraph" w:styleId="9">
    <w:name w:val="Block Text"/>
    <w:basedOn w:val="1"/>
    <w:autoRedefine/>
    <w:qFormat/>
    <w:uiPriority w:val="0"/>
    <w:pPr>
      <w:ind w:left="1171" w:right="91" w:hanging="1080"/>
    </w:pPr>
    <w:rPr>
      <w:rFonts w:eastAsia="楷体_GB2312"/>
      <w:szCs w:val="20"/>
    </w:rPr>
  </w:style>
  <w:style w:type="paragraph" w:styleId="10">
    <w:name w:val="Plain Text"/>
    <w:basedOn w:val="1"/>
    <w:autoRedefine/>
    <w:qFormat/>
    <w:uiPriority w:val="0"/>
    <w:rPr>
      <w:rFonts w:ascii="宋体" w:cs="Courier New"/>
      <w:szCs w:val="21"/>
    </w:rPr>
  </w:style>
  <w:style w:type="paragraph" w:styleId="11">
    <w:name w:val="Balloon Text"/>
    <w:basedOn w:val="1"/>
    <w:autoRedefine/>
    <w:qFormat/>
    <w:uiPriority w:val="0"/>
    <w:rPr>
      <w:sz w:val="18"/>
      <w:szCs w:val="18"/>
    </w:rPr>
  </w:style>
  <w:style w:type="paragraph" w:styleId="12">
    <w:name w:val="footer"/>
    <w:basedOn w:val="1"/>
    <w:autoRedefine/>
    <w:qFormat/>
    <w:uiPriority w:val="0"/>
    <w:pPr>
      <w:tabs>
        <w:tab w:val="center" w:pos="4153"/>
        <w:tab w:val="right" w:pos="8306"/>
      </w:tabs>
      <w:snapToGrid w:val="0"/>
      <w:jc w:val="left"/>
    </w:pPr>
    <w:rPr>
      <w:sz w:val="18"/>
      <w:szCs w:val="18"/>
    </w:rPr>
  </w:style>
  <w:style w:type="paragraph" w:styleId="1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15">
    <w:name w:val="annotation subject"/>
    <w:basedOn w:val="6"/>
    <w:next w:val="1"/>
    <w:autoRedefine/>
    <w:qFormat/>
    <w:uiPriority w:val="0"/>
    <w:rPr>
      <w:rFonts w:ascii="Calibri" w:hAnsi="Calibri" w:cs="Calibri"/>
      <w:b/>
      <w:bCs/>
      <w:szCs w:val="21"/>
    </w:rPr>
  </w:style>
  <w:style w:type="paragraph" w:styleId="16">
    <w:name w:val="Body Text First Indent"/>
    <w:basedOn w:val="7"/>
    <w:autoRedefine/>
    <w:unhideWhenUsed/>
    <w:qFormat/>
    <w:uiPriority w:val="99"/>
    <w:pPr>
      <w:ind w:firstLine="420" w:firstLineChars="100"/>
    </w:pPr>
  </w:style>
  <w:style w:type="paragraph" w:styleId="17">
    <w:name w:val="Body Text First Indent 2"/>
    <w:basedOn w:val="8"/>
    <w:next w:val="5"/>
    <w:autoRedefine/>
    <w:qFormat/>
    <w:uiPriority w:val="0"/>
    <w:pPr>
      <w:ind w:firstLine="200" w:firstLineChars="200"/>
    </w:pPr>
  </w:style>
  <w:style w:type="table" w:styleId="19">
    <w:name w:val="Table Grid"/>
    <w:basedOn w:val="1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autoRedefine/>
    <w:qFormat/>
    <w:uiPriority w:val="0"/>
    <w:rPr>
      <w:color w:val="0000FF"/>
      <w:u w:val="single"/>
    </w:rPr>
  </w:style>
  <w:style w:type="character" w:styleId="22">
    <w:name w:val="annotation reference"/>
    <w:basedOn w:val="20"/>
    <w:autoRedefine/>
    <w:qFormat/>
    <w:uiPriority w:val="0"/>
    <w:rPr>
      <w:sz w:val="21"/>
      <w:szCs w:val="21"/>
    </w:rPr>
  </w:style>
  <w:style w:type="paragraph" w:customStyle="1" w:styleId="23">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4">
    <w:name w:val="样式1"/>
    <w:basedOn w:val="1"/>
    <w:autoRedefine/>
    <w:qFormat/>
    <w:uiPriority w:val="0"/>
    <w:pPr>
      <w:spacing w:line="360" w:lineRule="auto"/>
      <w:jc w:val="center"/>
    </w:pPr>
    <w:rPr>
      <w:rFonts w:ascii="Calibri" w:hAnsi="Calibri" w:eastAsia="仿宋"/>
      <w:b/>
      <w:color w:val="0000FF"/>
      <w:sz w:val="36"/>
    </w:rPr>
  </w:style>
  <w:style w:type="paragraph" w:customStyle="1" w:styleId="25">
    <w:name w:val="表格文字"/>
    <w:basedOn w:val="1"/>
    <w:next w:val="1"/>
    <w:autoRedefine/>
    <w:qFormat/>
    <w:uiPriority w:val="0"/>
    <w:pPr>
      <w:spacing w:line="360" w:lineRule="auto"/>
      <w:ind w:firstLine="200" w:firstLineChars="200"/>
      <w:jc w:val="left"/>
    </w:pPr>
    <w:rPr>
      <w:sz w:val="24"/>
    </w:rPr>
  </w:style>
  <w:style w:type="paragraph" w:customStyle="1" w:styleId="26">
    <w:name w:val="列出段落1"/>
    <w:basedOn w:val="1"/>
    <w:autoRedefine/>
    <w:qFormat/>
    <w:uiPriority w:val="0"/>
    <w:pPr>
      <w:ind w:firstLine="200" w:firstLineChars="200"/>
    </w:pPr>
    <w:rPr>
      <w:szCs w:val="20"/>
    </w:rPr>
  </w:style>
  <w:style w:type="paragraph" w:customStyle="1" w:styleId="27">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8">
    <w:name w:val="_Style 3"/>
    <w:basedOn w:val="8"/>
    <w:next w:val="17"/>
    <w:autoRedefine/>
    <w:qFormat/>
    <w:uiPriority w:val="0"/>
    <w:pPr>
      <w:ind w:firstLine="200" w:firstLineChars="200"/>
    </w:pPr>
    <w:rPr>
      <w:rFonts w:ascii="Calibri" w:hAnsi="Calibri"/>
    </w:rPr>
  </w:style>
  <w:style w:type="character" w:customStyle="1" w:styleId="29">
    <w:name w:val="apple-style-span"/>
    <w:basedOn w:val="20"/>
    <w:autoRedefine/>
    <w:qFormat/>
    <w:uiPriority w:val="0"/>
    <w:rPr>
      <w:rFonts w:cs="Times New Roman"/>
    </w:rPr>
  </w:style>
  <w:style w:type="paragraph" w:customStyle="1" w:styleId="30">
    <w:name w:val="列出段落112"/>
    <w:basedOn w:val="1"/>
    <w:autoRedefine/>
    <w:qFormat/>
    <w:uiPriority w:val="0"/>
    <w:pPr>
      <w:ind w:firstLine="200" w:firstLineChars="200"/>
    </w:pPr>
  </w:style>
  <w:style w:type="paragraph" w:customStyle="1" w:styleId="31">
    <w:name w:val="列表段落1"/>
    <w:basedOn w:val="1"/>
    <w:autoRedefine/>
    <w:qFormat/>
    <w:uiPriority w:val="0"/>
    <w:pPr>
      <w:ind w:firstLine="200" w:firstLineChars="200"/>
    </w:pPr>
  </w:style>
  <w:style w:type="paragraph" w:customStyle="1" w:styleId="32">
    <w:name w:val="1"/>
    <w:basedOn w:val="1"/>
    <w:autoRedefine/>
    <w:qFormat/>
    <w:uiPriority w:val="0"/>
    <w:pPr>
      <w:spacing w:after="50" w:afterLines="50" w:line="360" w:lineRule="auto"/>
    </w:pPr>
    <w:rPr>
      <w:rFonts w:ascii="宋体"/>
      <w:b/>
      <w:sz w:val="30"/>
      <w:szCs w:val="21"/>
    </w:rPr>
  </w:style>
  <w:style w:type="paragraph" w:customStyle="1" w:styleId="33">
    <w:name w:val="BodyText"/>
    <w:basedOn w:val="1"/>
    <w:autoRedefine/>
    <w:qFormat/>
    <w:uiPriority w:val="0"/>
    <w:pPr>
      <w:spacing w:after="120"/>
    </w:pPr>
    <w:rPr>
      <w:kern w:val="0"/>
      <w:sz w:val="20"/>
    </w:rPr>
  </w:style>
  <w:style w:type="character" w:customStyle="1" w:styleId="34">
    <w:name w:val="NormalCharacter"/>
    <w:autoRedefine/>
    <w:qFormat/>
    <w:uiPriority w:val="0"/>
  </w:style>
  <w:style w:type="table" w:customStyle="1" w:styleId="35">
    <w:name w:val="网格型8"/>
    <w:basedOn w:val="1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Header or footer|2"/>
    <w:basedOn w:val="1"/>
    <w:autoRedefine/>
    <w:qFormat/>
    <w:uiPriority w:val="0"/>
    <w:rPr>
      <w:sz w:val="20"/>
      <w:szCs w:val="20"/>
      <w:lang w:val="zh-TW" w:eastAsia="zh-TW" w:bidi="zh-TW"/>
    </w:rPr>
  </w:style>
  <w:style w:type="paragraph" w:customStyle="1" w:styleId="37">
    <w:name w:val="Normal_0_2"/>
    <w:autoRedefine/>
    <w:qFormat/>
    <w:uiPriority w:val="0"/>
    <w:rPr>
      <w:rFonts w:ascii="Times New Roman" w:hAnsi="Times New Roman" w:eastAsia="宋体" w:cs="Times New Roman"/>
      <w:sz w:val="24"/>
      <w:szCs w:val="24"/>
      <w:lang w:val="en-US" w:eastAsia="zh-CN" w:bidi="ar-SA"/>
    </w:rPr>
  </w:style>
  <w:style w:type="paragraph" w:customStyle="1" w:styleId="38">
    <w:name w:val="Normal_0_1"/>
    <w:autoRedefine/>
    <w:qFormat/>
    <w:uiPriority w:val="0"/>
    <w:rPr>
      <w:rFonts w:ascii="Times New Roman" w:hAnsi="Times New Roman" w:eastAsia="宋体" w:cs="Times New Roman"/>
      <w:sz w:val="24"/>
      <w:szCs w:val="24"/>
      <w:lang w:val="en-US" w:eastAsia="zh-CN" w:bidi="ar-SA"/>
    </w:rPr>
  </w:style>
  <w:style w:type="character" w:customStyle="1" w:styleId="39">
    <w:name w:val="正文缩进 字符"/>
    <w:link w:val="5"/>
    <w:autoRedefine/>
    <w:qFormat/>
    <w:uiPriority w:val="0"/>
    <w:rPr>
      <w:kern w:val="0"/>
      <w:sz w:val="20"/>
      <w:szCs w:val="20"/>
    </w:rPr>
  </w:style>
  <w:style w:type="character" w:customStyle="1" w:styleId="40">
    <w:name w:val="正文文本缩进 字符"/>
    <w:link w:val="8"/>
    <w:autoRedefine/>
    <w:qFormat/>
    <w:uiPriority w:val="0"/>
  </w:style>
  <w:style w:type="paragraph" w:customStyle="1" w:styleId="41">
    <w:name w:val="List Paragraph1"/>
    <w:basedOn w:val="1"/>
    <w:autoRedefine/>
    <w:qFormat/>
    <w:uiPriority w:val="0"/>
    <w:pPr>
      <w:ind w:firstLine="420" w:firstLineChars="200"/>
    </w:pPr>
    <w:rPr>
      <w:rFonts w:cs="宋体"/>
      <w:szCs w:val="22"/>
    </w:rPr>
  </w:style>
  <w:style w:type="table" w:customStyle="1" w:styleId="42">
    <w:name w:val="网格型811"/>
    <w:basedOn w:val="1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Other|1"/>
    <w:basedOn w:val="1"/>
    <w:autoRedefine/>
    <w:qFormat/>
    <w:uiPriority w:val="0"/>
    <w:pPr>
      <w:spacing w:line="454" w:lineRule="auto"/>
      <w:ind w:firstLine="20"/>
    </w:pPr>
    <w:rPr>
      <w:rFonts w:ascii="宋体" w:hAnsi="宋体" w:cs="宋体"/>
      <w:kern w:val="0"/>
      <w:sz w:val="22"/>
      <w:szCs w:val="22"/>
    </w:rPr>
  </w:style>
  <w:style w:type="paragraph" w:customStyle="1" w:styleId="44">
    <w:name w:val="修订1"/>
    <w:autoRedefine/>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9842</Words>
  <Characters>10625</Characters>
  <Lines>38</Lines>
  <Paragraphs>10</Paragraphs>
  <TotalTime>7</TotalTime>
  <ScaleCrop>false</ScaleCrop>
  <LinksUpToDate>false</LinksUpToDate>
  <CharactersWithSpaces>10718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2025-04-17T10:02:00Z</dcterms:created>
  <dc:creator>hp</dc:creator>
  <cp:lastModifiedBy>段池</cp:lastModifiedBy>
  <cp:lastPrinted>2025-03-07T13:30:00Z</cp:lastPrinted>
  <dcterms:modified xsi:type="dcterms:W3CDTF">2026-03-20T07:58:22Z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25C5A02E110467340B03B969348AB1A7_43</vt:lpwstr>
  </property>
  <property fmtid="{D5CDD505-2E9C-101B-9397-08002B2CF9AE}" pid="4" name="KSOTemplateDocerSaveRecord">
    <vt:lpwstr>eyJoZGlkIjoiMmVkMDYxNzg5YmJlZTUyODViYzkzNjVhMDVhMDUzYTYiLCJ1c2VySWQiOiIxNjg1MTkxNzc3In0=</vt:lpwstr>
  </property>
</Properties>
</file>