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直流电弧炉采购项目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技术参数</w:t>
      </w:r>
    </w:p>
    <w:p w14:paraId="499D1363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</w:t>
      </w:r>
    </w:p>
    <w:p w14:paraId="00DD2470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6E3FDF9D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1.设备名称：直流电弧炉</w:t>
      </w:r>
    </w:p>
    <w:p w14:paraId="0DF713E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2.数量：1台</w:t>
      </w:r>
    </w:p>
    <w:p w14:paraId="17094F81">
      <w:pPr>
        <w:tabs>
          <w:tab w:val="left" w:pos="0"/>
        </w:tabs>
        <w:adjustRightInd w:val="0"/>
        <w:snapToGrid w:val="0"/>
        <w:spacing w:line="560" w:lineRule="exact"/>
        <w:rPr>
          <w:rFonts w:hint="eastAsia"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685DBEC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1.用途要求</w:t>
      </w:r>
    </w:p>
    <w:p w14:paraId="0C95AC9E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ascii="方正仿宋_GB2312" w:hAnsi="方正仿宋_GB2312" w:eastAsia="方正仿宋_GB2312" w:cs="方正仿宋_GB2312"/>
          <w:sz w:val="32"/>
          <w:szCs w:val="32"/>
        </w:rPr>
        <w:t>通过可控硅直流电源输出直流电流，输入电极产生高温电弧，对炉膛内的矿物、金属等物料进行熔化、反应，满足电弧炉炼钢过程模拟、物料熔化机理研究、循环资源化利用试验等需求。</w:t>
      </w:r>
    </w:p>
    <w:p w14:paraId="43115BAE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2.功能要求：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PLC 操作柜及触摸屏，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可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实现多维度精准控制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；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具备过流保护、过压保护、短路保护等功能，须实时监测设备运行状态，出现异常时触发报警并采取保护措施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；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循环水系统，为设备关键部件降温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</w:t>
      </w:r>
      <w:r>
        <w:rPr>
          <w:rFonts w:ascii="方正仿宋_GB2312" w:hAnsi="方正仿宋_GB2312" w:eastAsia="方正仿宋_GB2312" w:cs="方正仿宋_GB2312"/>
          <w:sz w:val="32"/>
          <w:szCs w:val="32"/>
        </w:rPr>
        <w:t>须有效收集冶炼过程中产生的烟气，避免烟气污染环境，符合环保要求。</w:t>
      </w:r>
    </w:p>
    <w:p w14:paraId="301473C0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3.详细技术要求</w:t>
      </w:r>
    </w:p>
    <w:p w14:paraId="213EE2A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 核心供电系统</w:t>
      </w:r>
    </w:p>
    <w:p w14:paraId="0489BC9F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32"/>
          <w:szCs w:val="32"/>
        </w:rPr>
        <w:t>3.1.1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直流电源</w:t>
      </w:r>
    </w:p>
    <w:p w14:paraId="6280345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组成部件：包含干式变压器、整流器、换档接触器。</w:t>
      </w:r>
    </w:p>
    <w:p w14:paraId="0F92A82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电源参数：电压 40-55-70DCV。</w:t>
      </w:r>
    </w:p>
    <w:p w14:paraId="257FE8A8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调压方式：采用交流接触器粗调+可控硅细调组合方式。</w:t>
      </w:r>
    </w:p>
    <w:p w14:paraId="370D3A0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3.1.2 配电柜</w:t>
      </w:r>
    </w:p>
    <w:p w14:paraId="73CCF3D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功能定位：为电炉变压器及配套设备提供稳定电源。</w:t>
      </w:r>
    </w:p>
    <w:p w14:paraId="59DE9DAC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规格参数：额定电流 250A。</w:t>
      </w:r>
    </w:p>
    <w:p w14:paraId="4C53C7BE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 控制操作系统</w:t>
      </w:r>
    </w:p>
    <w:p w14:paraId="4522B251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color w:val="FF0000"/>
          <w:sz w:val="32"/>
          <w:szCs w:val="32"/>
        </w:rPr>
        <w:t xml:space="preserve">3.2.1 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PLC 操作柜</w:t>
      </w:r>
    </w:p>
    <w:p w14:paraId="5F1FB5A6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结构形式：自动化 PLC 操作柜（琴台式）。</w:t>
      </w:r>
    </w:p>
    <w:p w14:paraId="72C0C6DB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核心配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置：电流电量监测仪表、可编程控制器及配套模块、隔离变送器。</w:t>
      </w:r>
    </w:p>
    <w:p w14:paraId="6899C00F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3.2.2 电炉操作柜</w:t>
      </w:r>
    </w:p>
    <w:p w14:paraId="6D69ED11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核心配置：触摸屏、变频器、操作按钮、显示仪表。</w:t>
      </w:r>
    </w:p>
    <w:p w14:paraId="13B89B6A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工作模式：支持手动与自动两种模式转换，满足不同教学与实验场景需求。</w:t>
      </w:r>
    </w:p>
    <w:p w14:paraId="2C2EFD43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3.3 导电连接系统</w:t>
      </w:r>
    </w:p>
    <w:p w14:paraId="21B6BF52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3.3.1 短网</w:t>
      </w:r>
    </w:p>
    <w:p w14:paraId="7AD6674E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定义范围：连接电源柜与石墨电极的所有导电件、绝缘件和固定件的统称。</w:t>
      </w:r>
    </w:p>
    <w:p w14:paraId="0E461639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固定装置：采用奥氏体不锈钢与绝缘材料制作，保障导电安全与结构稳定。</w:t>
      </w:r>
    </w:p>
    <w:p w14:paraId="31CF37FD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 炉体结构系统</w:t>
      </w:r>
    </w:p>
    <w:p w14:paraId="75A3AFFC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3.4.1 炉体</w:t>
      </w:r>
    </w:p>
    <w:p w14:paraId="23A356E7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外壳尺寸和炉膛尺寸由供方和需方共同商定设计，要求炉膛有效容积不低于13 L。</w:t>
      </w:r>
    </w:p>
    <w:p w14:paraId="4C49953D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倾转功能：炉体倾转角度＞90°，采用液压驱动方式实现倾转。</w:t>
      </w:r>
    </w:p>
    <w:p w14:paraId="3DEF1D47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3.4.2 炉盖</w:t>
      </w:r>
    </w:p>
    <w:p w14:paraId="1942F7A6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外形尺寸由供方设计。</w:t>
      </w:r>
    </w:p>
    <w:p w14:paraId="39236064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内衬设计：内侧打结 150 mm 高铝浇注料，提升耐高温与保温性能。</w:t>
      </w:r>
    </w:p>
    <w:p w14:paraId="1D35A1F0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功能开孔：顶部设电极孔、加料孔、观察孔各1个，以及出烟管1个。</w:t>
      </w:r>
    </w:p>
    <w:p w14:paraId="2D924436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烟气收集：烟罩与炉盖一体化设计，须集中收集出烟管烟气、电极孔烟气、上部出渣口烟气，通过管道接入烟气处理系统。</w:t>
      </w:r>
    </w:p>
    <w:p w14:paraId="5F4FA528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3.4.3 炉体支架</w:t>
      </w:r>
    </w:p>
    <w:p w14:paraId="0D7FCBB2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结构材质：钢结构，具备高强度支撑性能。</w:t>
      </w:r>
    </w:p>
    <w:p w14:paraId="09C19848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功能定位：支撑炉体与炉盖（含烟罩），保障设备整体稳定性。</w:t>
      </w:r>
    </w:p>
    <w:p w14:paraId="3BC8E11A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3.4.4 液压倾炉系统</w:t>
      </w:r>
    </w:p>
    <w:p w14:paraId="2470795D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组成部件：由油箱、高压液压泵、过滤器（含高压管路过滤器、回油过滤器）、电磁阀、管件、油缸、控制部分构成；炉体后部两侧安装 2 支液压缸，与炉体支架连为一体，实现炉体倾转驱动。</w:t>
      </w:r>
    </w:p>
    <w:p w14:paraId="09ECB33D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工作介质：采用水-乙二醇溶液，适配系统工作温度与压力需求。</w:t>
      </w:r>
    </w:p>
    <w:p w14:paraId="58A4E574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核心技术参数：</w:t>
      </w:r>
    </w:p>
    <w:p w14:paraId="4903791E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系统工作压力：8-11 MPa</w:t>
      </w:r>
    </w:p>
    <w:p w14:paraId="254A55E8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驱动电动机：功率不低于2.2 KW</w:t>
      </w:r>
    </w:p>
    <w:p w14:paraId="2FCE6F3D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系统流量：不低于12 L/min</w:t>
      </w:r>
    </w:p>
    <w:p w14:paraId="1D8E355A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工作温度范围：20-50 ℃</w:t>
      </w:r>
    </w:p>
    <w:p w14:paraId="73A18E64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控制电压：DC 24 V</w:t>
      </w:r>
    </w:p>
    <w:p w14:paraId="17E08439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动力电压：380 V</w:t>
      </w:r>
    </w:p>
    <w:p w14:paraId="1B3D35C8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关键组件规格：</w:t>
      </w:r>
    </w:p>
    <w:p w14:paraId="1645008B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油箱装置：容积不小于0.15 m</w:t>
      </w:r>
      <w:r>
        <w:rPr>
          <w:rFonts w:ascii="Calibri" w:hAnsi="Calibri" w:eastAsia="方正仿宋_GB2312" w:cs="Calibri"/>
          <w:sz w:val="32"/>
          <w:szCs w:val="32"/>
        </w:rPr>
        <w:t>³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（即150 L），不锈钢材质；配套液位器、空气过滤器、压力管路滤油器、回油过滤器。</w:t>
      </w:r>
    </w:p>
    <w:p w14:paraId="70328186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过滤器：回油过滤器额定流量不低于20 L/min，过滤精度不低于20 um；高压管路过滤器 2 台，单台额定流量50 L/min，过滤精度不低于 10 um。</w:t>
      </w:r>
    </w:p>
    <w:p w14:paraId="5C9FF840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管路连接：液压系统各机构间通过管道及管路附件实现连接，保障液压介质稳定传输。</w:t>
      </w:r>
    </w:p>
    <w:p w14:paraId="000391C9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3.5 电极与冷却系统</w:t>
      </w:r>
    </w:p>
    <w:p w14:paraId="23FC7A07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3.5.1 电极夹持与升降装置</w:t>
      </w:r>
    </w:p>
    <w:p w14:paraId="27E22641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组成部件：由升降立柱、滚轮组及固定装置、导电横臂、夹持松放机构、导电铜瓦构成；整套装置固定于炉体后侧，可随炉体同步倾转，保障电极与炉体相对位置稳定。</w:t>
      </w:r>
    </w:p>
    <w:p w14:paraId="29E24665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传动方式：采用丝杆传动，实现电极升降的精准控制，适配不同熔炼阶段电极位置调节需求。</w:t>
      </w:r>
    </w:p>
    <w:p w14:paraId="68B36A6A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电极系统规格：电极直径80-100 mm，匹配炉体炉膛尺寸与熔炼功率需求。</w:t>
      </w:r>
    </w:p>
    <w:p w14:paraId="46066546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3.5.2 水冷系统</w:t>
      </w:r>
    </w:p>
    <w:p w14:paraId="7E67FADA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设备选型：选用小型风冷式冷水机，专为整流元件提供冷却，避免元件因高温影响工作稳定性与使用寿命。</w:t>
      </w:r>
    </w:p>
    <w:p w14:paraId="760F87E2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功能定位：通过风冷循环带走整流元件工作过程中产生的热量，保障直流电源系统持续稳定运行。</w:t>
      </w:r>
    </w:p>
    <w:p w14:paraId="4CDCF1B2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3.6 冶炼辅助系统</w:t>
      </w:r>
    </w:p>
    <w:p w14:paraId="53311899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3.6.1 出渣、出铁系统</w:t>
      </w:r>
    </w:p>
    <w:p w14:paraId="1D8984BE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组成配置：包含 3 个渣包及 1 部手拉小车；渣包放置于小车上，可通过人力推动小车实现渣包移动，方便工人在熔炼结束后完成出渣、出铁操作，适配实验教学中中小型冶炼场景的物料转运需求。</w:t>
      </w:r>
    </w:p>
    <w:p w14:paraId="3FB63AB9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3.6.2 烟气处理系统</w:t>
      </w:r>
    </w:p>
    <w:p w14:paraId="4CF7B2E8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核心组成：由脉冲除尘器、配套高压风机和空压机构成，实现冶炼过程中烟气的收集与净化。</w:t>
      </w:r>
    </w:p>
    <w:p w14:paraId="5597571B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关键技术参数：</w:t>
      </w:r>
    </w:p>
    <w:p w14:paraId="29F58512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过滤性能：过滤面积16-20 m</w:t>
      </w:r>
      <w:r>
        <w:rPr>
          <w:rFonts w:ascii="Calibri" w:hAnsi="Calibri" w:eastAsia="方正仿宋_GB2312" w:cs="Calibri"/>
          <w:sz w:val="32"/>
          <w:szCs w:val="32"/>
        </w:rPr>
        <w:t>²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过滤风速＜0.8 m/min，除尘效率需达 99.99%以上，满足环保排放与实验教学环境要求。</w:t>
      </w:r>
    </w:p>
    <w:p w14:paraId="4AFECA59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材质与防腐：与烟气接触面采取防腐措施，避免烟气腐蚀设备；布袋材质为 100% PTFE+PTFE 覆膜，袋笼材质为316 L + 有机硅涂覆，提升设备耐腐蚀性与使用寿命。</w:t>
      </w:r>
    </w:p>
    <w:p w14:paraId="2BA584C3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耐温性能：滤袋可在 210℃以下长时间运行，适配电弧炉烟气温度波动场景。</w:t>
      </w:r>
    </w:p>
    <w:p w14:paraId="07E2EACF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清灰控制：采用压缩空气脉冲清灰方式，支持远程 PLC 控制，包含人工控制清灰、定时清灰、定压差清灰等多种自控模式，保障过滤效率稳定。</w:t>
      </w:r>
    </w:p>
    <w:p w14:paraId="68E22BC7">
      <w:pPr>
        <w:pStyle w:val="3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监测配置：设置除尘器进出口压差检测仪，实时监测设备运行状态，便于及时调整清灰策略与维护设备。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VhZjBjNjgyOWNjMGU1NGJjMmVhNzY1NzIzMWE2MDkifQ=="/>
  </w:docVars>
  <w:rsids>
    <w:rsidRoot w:val="00E07BAA"/>
    <w:rsid w:val="00001142"/>
    <w:rsid w:val="00001C8E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218B"/>
    <w:rsid w:val="00137785"/>
    <w:rsid w:val="001433AF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2462"/>
    <w:rsid w:val="002A6527"/>
    <w:rsid w:val="002C25D1"/>
    <w:rsid w:val="002D460F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0340"/>
    <w:rsid w:val="00384427"/>
    <w:rsid w:val="00386C57"/>
    <w:rsid w:val="003927D5"/>
    <w:rsid w:val="003A044D"/>
    <w:rsid w:val="003A1889"/>
    <w:rsid w:val="003B09CC"/>
    <w:rsid w:val="003C3C8E"/>
    <w:rsid w:val="003C40A4"/>
    <w:rsid w:val="003D79A2"/>
    <w:rsid w:val="003E43BB"/>
    <w:rsid w:val="003F7F5B"/>
    <w:rsid w:val="00404A81"/>
    <w:rsid w:val="00405E8C"/>
    <w:rsid w:val="00416AD8"/>
    <w:rsid w:val="0041736A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C67CA"/>
    <w:rsid w:val="005D6764"/>
    <w:rsid w:val="005E481B"/>
    <w:rsid w:val="005F52F9"/>
    <w:rsid w:val="0061010D"/>
    <w:rsid w:val="00620A6F"/>
    <w:rsid w:val="00620BFE"/>
    <w:rsid w:val="006218BB"/>
    <w:rsid w:val="0062238D"/>
    <w:rsid w:val="006335B8"/>
    <w:rsid w:val="006353B5"/>
    <w:rsid w:val="006407E2"/>
    <w:rsid w:val="00643626"/>
    <w:rsid w:val="00653E44"/>
    <w:rsid w:val="00656081"/>
    <w:rsid w:val="006807E8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176AF"/>
    <w:rsid w:val="00723342"/>
    <w:rsid w:val="007321A1"/>
    <w:rsid w:val="00747891"/>
    <w:rsid w:val="00747EDF"/>
    <w:rsid w:val="00757D31"/>
    <w:rsid w:val="007613E9"/>
    <w:rsid w:val="00763E99"/>
    <w:rsid w:val="00771548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498F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4B09"/>
    <w:rsid w:val="00B55CE4"/>
    <w:rsid w:val="00B60238"/>
    <w:rsid w:val="00B6096C"/>
    <w:rsid w:val="00B64347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37BE"/>
    <w:rsid w:val="00D244A0"/>
    <w:rsid w:val="00D31251"/>
    <w:rsid w:val="00D31F55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2571"/>
    <w:rsid w:val="00E96685"/>
    <w:rsid w:val="00EA0933"/>
    <w:rsid w:val="00EA1E98"/>
    <w:rsid w:val="00EA3DDC"/>
    <w:rsid w:val="00EB0219"/>
    <w:rsid w:val="00EB0FB4"/>
    <w:rsid w:val="00EB7216"/>
    <w:rsid w:val="00EC1FA4"/>
    <w:rsid w:val="00ED2F65"/>
    <w:rsid w:val="00ED5BFA"/>
    <w:rsid w:val="00EE7368"/>
    <w:rsid w:val="00EF09DA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2AB5AF9"/>
    <w:rsid w:val="06CB196A"/>
    <w:rsid w:val="091E78D4"/>
    <w:rsid w:val="0CC57C7C"/>
    <w:rsid w:val="0D6C3835"/>
    <w:rsid w:val="11D86190"/>
    <w:rsid w:val="154F4A0A"/>
    <w:rsid w:val="15732802"/>
    <w:rsid w:val="17CA18DE"/>
    <w:rsid w:val="1EE066D3"/>
    <w:rsid w:val="1F9E34E9"/>
    <w:rsid w:val="20A6370E"/>
    <w:rsid w:val="21A273F2"/>
    <w:rsid w:val="26415CA9"/>
    <w:rsid w:val="2DC0604D"/>
    <w:rsid w:val="2F13230C"/>
    <w:rsid w:val="3727228C"/>
    <w:rsid w:val="3E633671"/>
    <w:rsid w:val="42A85EE1"/>
    <w:rsid w:val="43B41D58"/>
    <w:rsid w:val="44B671C3"/>
    <w:rsid w:val="49E15330"/>
    <w:rsid w:val="4ED212E5"/>
    <w:rsid w:val="51EE6736"/>
    <w:rsid w:val="54A41EF9"/>
    <w:rsid w:val="560153A1"/>
    <w:rsid w:val="56C01185"/>
    <w:rsid w:val="583018FD"/>
    <w:rsid w:val="5A601637"/>
    <w:rsid w:val="5D7923F2"/>
    <w:rsid w:val="63A252D2"/>
    <w:rsid w:val="64D2456D"/>
    <w:rsid w:val="690D37B6"/>
    <w:rsid w:val="6B753CBF"/>
    <w:rsid w:val="6C4C227F"/>
    <w:rsid w:val="6CD14AEF"/>
    <w:rsid w:val="724862C1"/>
    <w:rsid w:val="73030421"/>
    <w:rsid w:val="74706C32"/>
    <w:rsid w:val="74EB40C4"/>
    <w:rsid w:val="765B19D5"/>
    <w:rsid w:val="76AE42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19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character" w:styleId="14">
    <w:name w:val="annotation reference"/>
    <w:basedOn w:val="13"/>
    <w:semiHidden/>
    <w:unhideWhenUsed/>
    <w:qFormat/>
    <w:uiPriority w:val="99"/>
    <w:rPr>
      <w:sz w:val="16"/>
      <w:szCs w:val="16"/>
    </w:rPr>
  </w:style>
  <w:style w:type="paragraph" w:styleId="15">
    <w:name w:val="List Paragraph"/>
    <w:basedOn w:val="1"/>
    <w:link w:val="24"/>
    <w:qFormat/>
    <w:uiPriority w:val="1"/>
    <w:pPr>
      <w:ind w:firstLine="420" w:firstLineChars="200"/>
    </w:pPr>
  </w:style>
  <w:style w:type="character" w:customStyle="1" w:styleId="16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7"/>
    <w:qFormat/>
    <w:uiPriority w:val="99"/>
    <w:rPr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副标题 字符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副标题 字符1"/>
    <w:basedOn w:val="13"/>
    <w:qFormat/>
    <w:uiPriority w:val="11"/>
    <w:rPr>
      <w:b/>
      <w:bCs/>
      <w:kern w:val="28"/>
      <w:sz w:val="32"/>
      <w:szCs w:val="32"/>
    </w:rPr>
  </w:style>
  <w:style w:type="paragraph" w:customStyle="1" w:styleId="21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2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3">
    <w:name w:val="Placeholder Text"/>
    <w:basedOn w:val="13"/>
    <w:semiHidden/>
    <w:qFormat/>
    <w:uiPriority w:val="99"/>
    <w:rPr>
      <w:color w:val="808080"/>
    </w:rPr>
  </w:style>
  <w:style w:type="character" w:customStyle="1" w:styleId="24">
    <w:name w:val="列表段落 字符"/>
    <w:link w:val="15"/>
    <w:qFormat/>
    <w:uiPriority w:val="1"/>
  </w:style>
  <w:style w:type="character" w:customStyle="1" w:styleId="25">
    <w:name w:val="批注框文本 字符"/>
    <w:basedOn w:val="13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1856</Words>
  <Characters>2029</Characters>
  <Lines>70</Lines>
  <Paragraphs>77</Paragraphs>
  <TotalTime>0</TotalTime>
  <ScaleCrop>false</ScaleCrop>
  <LinksUpToDate>false</LinksUpToDate>
  <CharactersWithSpaces>2093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2026-05-22T01:18:00Z</dcterms:created>
  <dc:creator>Power3D</dc:creator>
  <cp:lastModifiedBy>张帅磊</cp:lastModifiedBy>
  <dcterms:modified xsi:type="dcterms:W3CDTF">2026-05-22T09:15:28Z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2AF5FADC3FEF4557BE6AECAB776F6BEE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