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76933F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技术要求</w:t>
      </w:r>
    </w:p>
    <w:p w14:paraId="5CFB98D9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（一）、技术规格</w:t>
      </w:r>
    </w:p>
    <w:p w14:paraId="3B23A92E">
      <w:pPr>
        <w:pStyle w:val="3"/>
        <w:spacing w:line="360" w:lineRule="auto"/>
        <w:ind w:firstLine="480" w:firstLineChars="200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实验室通风控制系统设计总则：</w:t>
      </w:r>
    </w:p>
    <w:p w14:paraId="621E1636">
      <w:pPr>
        <w:pStyle w:val="3"/>
        <w:spacing w:line="360" w:lineRule="auto"/>
        <w:ind w:firstLine="480" w:firstLineChars="200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根据大楼的结构特点，设计划分排风系统，管道系统，做到“短、平、顺、直”,减小系统阻力，降低系统噪声；所选择的工艺必须满足现场条件，平面布置简洁、紧凑、少占地，并方便生产操作和维护维修；非标设备应符合国家或行业相关规范，并保证性能稳定、外表美观；在设计中充分考虑噪声等防止二次污染的产生，不给周围环境造成新的污染。</w:t>
      </w:r>
    </w:p>
    <w:p w14:paraId="374700EA">
      <w:pPr>
        <w:pStyle w:val="3"/>
        <w:spacing w:line="360" w:lineRule="auto"/>
        <w:ind w:firstLine="480" w:firstLineChars="200"/>
        <w:rPr>
          <w:color w:val="auto"/>
          <w:sz w:val="24"/>
          <w:szCs w:val="24"/>
          <w:lang w:eastAsia="zh-CN"/>
        </w:rPr>
      </w:pPr>
    </w:p>
    <w:p w14:paraId="39FAEF0B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1、技术规范</w:t>
      </w:r>
    </w:p>
    <w:p w14:paraId="6AB15142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1.1《民用建筑供暖通风与空气调节设计规范》(GB50736-2012)</w:t>
      </w:r>
    </w:p>
    <w:p w14:paraId="2F875022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1.2《科研建筑设计标准》(JGJ 91-2019)</w:t>
      </w:r>
    </w:p>
    <w:p w14:paraId="7519E531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1.3《化学实验室通风系统设计与安装》(22K523)</w:t>
      </w:r>
    </w:p>
    <w:p w14:paraId="7D7A7585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1.4《建筑机电工程抗震设计规范》(GB 50981-2014)</w:t>
      </w:r>
    </w:p>
    <w:p w14:paraId="5DFB5EBC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1.5《建筑与市政工程抗震通用规范》(GB 55002-2021)</w:t>
      </w:r>
    </w:p>
    <w:p w14:paraId="0F6E3009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1.6《建筑节能与可再生能源利用通用规范》(GB 55015-2021)</w:t>
      </w:r>
    </w:p>
    <w:p w14:paraId="113585AA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1.7《建筑环境通用规范》(GB 55016-2021)</w:t>
      </w:r>
    </w:p>
    <w:p w14:paraId="4D558DAB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1.8《挥发性有机物无组织排放控制标准》(GB 37822-2019)</w:t>
      </w:r>
    </w:p>
    <w:p w14:paraId="6628BAD3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1.9《湖南省工业企业挥发性有机物排放标准》(DB43/3550-2026)</w:t>
      </w:r>
    </w:p>
    <w:p w14:paraId="43942B76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1.10《通风与空调工程施工质量验收规范》(GB 50243-2016)</w:t>
      </w:r>
    </w:p>
    <w:p w14:paraId="26541C8B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1.11《湖南省公共建筑节能设计标准》(DBJ43/003-2017)</w:t>
      </w:r>
    </w:p>
    <w:p w14:paraId="03D7CFB3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1.12《高等学校实验室消防安全管理规范》(教发函〔2023〕68号)</w:t>
      </w:r>
    </w:p>
    <w:p w14:paraId="0947B948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1.13《建筑设计防火规范》GB50016-2014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（2018年版）</w:t>
      </w:r>
    </w:p>
    <w:p w14:paraId="1F9BBBED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1.14《大气污染物综合排放标准》GB16297-1996</w:t>
      </w:r>
    </w:p>
    <w:p w14:paraId="3485327D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1.15 采购人提供资料及要求。</w:t>
      </w:r>
    </w:p>
    <w:p w14:paraId="74EEB282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</w:p>
    <w:p w14:paraId="044321E9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2、性能及技术要求：</w:t>
      </w:r>
    </w:p>
    <w:p w14:paraId="1E78A4B7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2.1 实验室通风换气次数5～12次/h。</w:t>
      </w:r>
    </w:p>
    <w:p w14:paraId="1553B562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2.2 支管内风速6～8m/s,干管内风速8～12m/s。</w:t>
      </w:r>
    </w:p>
    <w:p w14:paraId="47622D38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2.3 通风橱操作面断面风速0.5±0.1m/s，风速稳定、无大幅波动。</w:t>
      </w:r>
    </w:p>
    <w:p w14:paraId="1C6D952A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2.4 通风橱设计风量为300～1500m³/h,顶式排风罩设计风量为1000～3000m³/h。</w:t>
      </w:r>
    </w:p>
    <w:p w14:paraId="33001B3D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2.5 整个通风系统均为中低压系统，工作静压：75Pa～1500Pa，适配实验室常规排风工况。</w:t>
      </w:r>
    </w:p>
    <w:p w14:paraId="2621C8BB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2.6 实验室的噪声≤62dB(A)，满足实验室静音使用标准。</w:t>
      </w:r>
    </w:p>
    <w:p w14:paraId="791E720A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2.7 系统必须考虑通风设备运行同时系数，保障多设备联动运行稳定。</w:t>
      </w:r>
    </w:p>
    <w:p w14:paraId="2009EE1C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2.8 所有风管穿入外墙时，加装70℃防火风阀。</w:t>
      </w:r>
    </w:p>
    <w:p w14:paraId="3800610B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2.9 有毒有害气体应经废气处理装置净化达标后高空排放。</w:t>
      </w:r>
    </w:p>
    <w:p w14:paraId="0197B7AB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2.10 风管为实验室专用防腐阻燃PP材质，具备耐高低温、耐腐蚀、抗老化、阻燃特性，成品外观规整，无变形、破损、色差缺陷</w:t>
      </w:r>
    </w:p>
    <w:p w14:paraId="346DD857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</w:p>
    <w:p w14:paraId="7C7DD29A">
      <w:pPr>
        <w:wordWrap w:val="0"/>
        <w:spacing w:line="360" w:lineRule="auto"/>
        <w:ind w:firstLine="480" w:firstLineChars="20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</w:p>
    <w:p w14:paraId="020558D5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3、风管材质及安装</w:t>
      </w:r>
    </w:p>
    <w:p w14:paraId="222D92A9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3.1 通风系统风管采用防腐阻燃PP材质，采取定制和现场焊接相结合的方法，风管加工制作及安装、板材厚度、成型工艺均须符合《通风与空调工程施工质量验收规范》GB 50243-2016标准要求。</w:t>
      </w:r>
    </w:p>
    <w:p w14:paraId="4960287A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3.2 风管及配套附件均经耐酸碱防腐处理，出厂性能满足实验室腐蚀性废气使用工况，按国家高压风管标准出厂制作。</w:t>
      </w:r>
    </w:p>
    <w:p w14:paraId="08FD9AF4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FF0000"/>
          <w:sz w:val="24"/>
          <w:szCs w:val="24"/>
          <w:lang w:eastAsia="zh-CN"/>
        </w:rPr>
        <w:t xml:space="preserve">3.3 </w:t>
      </w:r>
      <w:r>
        <w:rPr>
          <w:rFonts w:hint="eastAsia"/>
          <w:color w:val="auto"/>
          <w:sz w:val="24"/>
          <w:szCs w:val="24"/>
          <w:lang w:eastAsia="zh-CN"/>
        </w:rPr>
        <w:t>考虑实验室排风气体属于有毒有害气体，为防止泄露及消防要求，定制风管使用高压一体成型风管（提供实物样品或实物图片或生产视频）；风管燃烧性能依据GB 8624-2012检测，达到B1-C难燃低烟低毒等级。提供CMA燃烧性能检测报告。</w:t>
      </w:r>
    </w:p>
    <w:p w14:paraId="042E32D3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FF0000"/>
          <w:sz w:val="24"/>
          <w:szCs w:val="24"/>
          <w:lang w:eastAsia="zh-CN"/>
        </w:rPr>
        <w:t xml:space="preserve">3.4 </w:t>
      </w:r>
      <w:r>
        <w:rPr>
          <w:rFonts w:hint="eastAsia"/>
          <w:color w:val="auto"/>
          <w:sz w:val="24"/>
          <w:szCs w:val="24"/>
          <w:lang w:eastAsia="zh-CN"/>
        </w:rPr>
        <w:t>风管密封性：参照《通风与空调工程施工质量验收规范》GB 50243-2016标准，在标准大气压、静压1000Pa 试验条件下，单位面积漏风率≤0.52m³/h・㎡，提供带CMA检测机构出具的带合格判定的漏风量检测报告。</w:t>
      </w:r>
    </w:p>
    <w:p w14:paraId="7B607442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3.5  防水要求：出外墙风管与墙面间须做防水处理。</w:t>
      </w:r>
    </w:p>
    <w:p w14:paraId="3E58FD3D">
      <w:pPr>
        <w:wordWrap w:val="0"/>
        <w:spacing w:line="360" w:lineRule="auto"/>
        <w:ind w:right="8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3.6 消声静压箱：</w:t>
      </w:r>
    </w:p>
    <w:p w14:paraId="76F7F156">
      <w:pPr>
        <w:wordWrap w:val="0"/>
        <w:spacing w:line="360" w:lineRule="auto"/>
        <w:ind w:right="8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3.6.1 外壳采用PP材料制作，内置消音材料与防腐钢丝网；</w:t>
      </w:r>
    </w:p>
    <w:p w14:paraId="20F26AD4">
      <w:pPr>
        <w:wordWrap w:val="0"/>
        <w:spacing w:line="360" w:lineRule="auto"/>
        <w:ind w:right="8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3.6.2 连接方式：法兰连接或承插连接；</w:t>
      </w:r>
    </w:p>
    <w:p w14:paraId="0EF900CA">
      <w:pPr>
        <w:wordWrap w:val="0"/>
        <w:spacing w:line="360" w:lineRule="auto"/>
        <w:ind w:right="80"/>
        <w:jc w:val="both"/>
        <w:rPr>
          <w:rFonts w:ascii="仿宋" w:hAnsi="仿宋" w:eastAsia="仿宋" w:cs="仿宋"/>
          <w:color w:val="auto"/>
          <w:sz w:val="24"/>
          <w:szCs w:val="24"/>
          <w:highlight w:val="yellow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3.6.3 性能：要求有效降低噪声10～15分贝。</w:t>
      </w:r>
    </w:p>
    <w:p w14:paraId="019FFA96">
      <w:pPr>
        <w:wordWrap w:val="0"/>
        <w:spacing w:line="360" w:lineRule="auto"/>
        <w:jc w:val="both"/>
        <w:rPr>
          <w:rFonts w:ascii="仿宋" w:hAnsi="仿宋" w:eastAsia="仿宋" w:cs="仿宋"/>
          <w:b/>
          <w:color w:val="auto"/>
          <w:sz w:val="24"/>
          <w:szCs w:val="24"/>
          <w:lang w:eastAsia="zh-CN"/>
        </w:rPr>
      </w:pPr>
    </w:p>
    <w:p w14:paraId="715CFE9E">
      <w:pPr>
        <w:wordWrap w:val="0"/>
        <w:spacing w:line="360" w:lineRule="auto"/>
        <w:jc w:val="both"/>
        <w:rPr>
          <w:rFonts w:ascii="仿宋" w:hAnsi="仿宋" w:eastAsia="仿宋" w:cs="仿宋"/>
          <w:b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4、防火、消声与减振：</w:t>
      </w:r>
    </w:p>
    <w:p w14:paraId="17A0E119">
      <w:pPr>
        <w:wordWrap w:val="0"/>
        <w:spacing w:line="360" w:lineRule="auto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4.1 所有由立管进入房间内的排风管道必须做防火设计；</w:t>
      </w:r>
    </w:p>
    <w:p w14:paraId="11E8381A">
      <w:pPr>
        <w:wordWrap w:val="0"/>
        <w:spacing w:line="360" w:lineRule="auto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4.2 风机必须进行消声和减振设计。</w:t>
      </w:r>
    </w:p>
    <w:p w14:paraId="14BD03E2">
      <w:pPr>
        <w:wordWrap w:val="0"/>
        <w:spacing w:line="360" w:lineRule="auto"/>
        <w:ind w:firstLine="480" w:firstLineChars="20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</w:p>
    <w:p w14:paraId="324A9EB0">
      <w:pPr>
        <w:wordWrap w:val="0"/>
        <w:spacing w:line="360" w:lineRule="auto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5、废气处理</w:t>
      </w:r>
    </w:p>
    <w:p w14:paraId="73B69881">
      <w:pPr>
        <w:wordWrap w:val="0"/>
        <w:spacing w:line="360" w:lineRule="auto"/>
        <w:ind w:right="4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5.1 实验室日常运作过程中产生的废气，经喷淋塔水洗中和处理后废气排放须满足《大气污染物综合排放标准》GB16297-1996的要求。</w:t>
      </w:r>
    </w:p>
    <w:p w14:paraId="3F059383">
      <w:pPr>
        <w:wordWrap w:val="0"/>
        <w:spacing w:line="360" w:lineRule="auto"/>
        <w:ind w:right="4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5.2 喷淋塔采用PP材质，立式安装。</w:t>
      </w:r>
    </w:p>
    <w:p w14:paraId="53F8CBCD">
      <w:pPr>
        <w:wordWrap w:val="0"/>
        <w:spacing w:line="360" w:lineRule="auto"/>
        <w:ind w:right="4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5.3 喷淋塔须配备全自动加药装置，接水口位置做好防水处理措施：</w:t>
      </w:r>
    </w:p>
    <w:p w14:paraId="0AAF4EB1">
      <w:pPr>
        <w:wordWrap w:val="0"/>
        <w:spacing w:line="360" w:lineRule="auto"/>
        <w:ind w:right="4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5.4 喷淋塔设置检修口、观察口。</w:t>
      </w:r>
    </w:p>
    <w:p w14:paraId="026AA044">
      <w:pPr>
        <w:wordWrap w:val="0"/>
        <w:spacing w:line="360" w:lineRule="auto"/>
        <w:ind w:right="4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</w:p>
    <w:p w14:paraId="4F92FA83">
      <w:pPr>
        <w:wordWrap w:val="0"/>
        <w:spacing w:line="360" w:lineRule="auto"/>
        <w:ind w:right="4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（二）技术要求</w:t>
      </w:r>
    </w:p>
    <w:p w14:paraId="54A15B11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1、通风橱</w:t>
      </w:r>
    </w:p>
    <w:p w14:paraId="4D2F8619">
      <w:pPr>
        <w:pStyle w:val="10"/>
        <w:spacing w:line="360" w:lineRule="auto"/>
        <w:jc w:val="left"/>
        <w:rPr>
          <w:rFonts w:ascii="仿宋" w:hAnsi="仿宋" w:eastAsia="仿宋" w:cs="仿宋"/>
          <w:b/>
          <w:bCs/>
          <w:snapToGrid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napToGrid w:val="0"/>
          <w:kern w:val="0"/>
          <w:sz w:val="24"/>
          <w:szCs w:val="24"/>
        </w:rPr>
        <w:t>1.1 整体结构：</w:t>
      </w:r>
    </w:p>
    <w:p w14:paraId="33384EA4">
      <w:pPr>
        <w:pStyle w:val="10"/>
        <w:spacing w:line="360" w:lineRule="auto"/>
        <w:jc w:val="left"/>
        <w:rPr>
          <w:rFonts w:ascii="仿宋" w:hAnsi="仿宋" w:eastAsia="仿宋" w:cs="仿宋"/>
          <w:snapToGrid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kern w:val="0"/>
          <w:sz w:val="24"/>
          <w:szCs w:val="24"/>
        </w:rPr>
        <w:t>1.1.1柜体为上下组合式柜体，上部柜体为通风橱操作空间，并含操作台面照明，插座等实验需要附件，下部为封闭式储物柜体，整体结构稳固、模块化集成出厂，无需现场结构改造。</w:t>
      </w:r>
    </w:p>
    <w:p w14:paraId="122DB017">
      <w:pPr>
        <w:pStyle w:val="10"/>
        <w:spacing w:line="360" w:lineRule="auto"/>
        <w:jc w:val="left"/>
        <w:rPr>
          <w:rFonts w:ascii="仿宋" w:hAnsi="仿宋" w:eastAsia="仿宋" w:cs="仿宋"/>
          <w:snapToGrid w:val="0"/>
          <w:kern w:val="0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napToGrid w:val="0"/>
          <w:kern w:val="0"/>
          <w:sz w:val="24"/>
          <w:szCs w:val="24"/>
        </w:rPr>
        <w:t>1.1.2 通风橱主体须具有优越的耐腐蚀性能，须提供依据《人造气氛腐蚀试验 盐雾试验》GB/T 10125-2021标准，进行168h中性盐雾连续喷雾试验后，涂层对基体的保护等级达到10级的检测报告（</w:t>
      </w:r>
      <w:r>
        <w:rPr>
          <w:rFonts w:hint="eastAsia" w:ascii="仿宋" w:hAnsi="仿宋" w:eastAsia="仿宋" w:cs="仿宋"/>
          <w:kern w:val="0"/>
          <w:sz w:val="24"/>
          <w:szCs w:val="24"/>
        </w:rPr>
        <w:t>提供CMA</w:t>
      </w:r>
      <w:r>
        <w:rPr>
          <w:rFonts w:hint="eastAsia" w:ascii="仿宋" w:hAnsi="仿宋" w:eastAsia="仿宋" w:cs="仿宋"/>
          <w:snapToGrid w:val="0"/>
          <w:kern w:val="0"/>
          <w:sz w:val="24"/>
          <w:szCs w:val="24"/>
          <w:lang w:val="zh-CN"/>
        </w:rPr>
        <w:t>或CNAS</w:t>
      </w:r>
      <w:r>
        <w:rPr>
          <w:rFonts w:hint="eastAsia" w:ascii="仿宋" w:hAnsi="仿宋" w:eastAsia="仿宋" w:cs="仿宋"/>
          <w:kern w:val="0"/>
          <w:sz w:val="24"/>
          <w:szCs w:val="24"/>
        </w:rPr>
        <w:t>的检测报告。</w:t>
      </w:r>
      <w:r>
        <w:rPr>
          <w:rFonts w:hint="eastAsia" w:ascii="仿宋" w:hAnsi="仿宋" w:eastAsia="仿宋" w:cs="仿宋"/>
          <w:snapToGrid w:val="0"/>
          <w:kern w:val="0"/>
          <w:sz w:val="24"/>
          <w:szCs w:val="24"/>
          <w:lang w:val="zh-CN"/>
        </w:rPr>
        <w:t>）。</w:t>
      </w:r>
    </w:p>
    <w:p w14:paraId="7DC912E8">
      <w:pPr>
        <w:pStyle w:val="10"/>
        <w:spacing w:line="360" w:lineRule="auto"/>
        <w:jc w:val="left"/>
        <w:rPr>
          <w:rFonts w:ascii="仿宋" w:hAnsi="仿宋" w:eastAsia="仿宋" w:cs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1.2上柜体</w:t>
      </w:r>
    </w:p>
    <w:p w14:paraId="25E74319">
      <w:pPr>
        <w:pStyle w:val="10"/>
        <w:spacing w:line="360" w:lineRule="auto"/>
        <w:jc w:val="left"/>
        <w:rPr>
          <w:rFonts w:ascii="仿宋" w:hAnsi="仿宋" w:eastAsia="仿宋" w:cs="仿宋"/>
          <w:snapToGrid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kern w:val="0"/>
          <w:sz w:val="24"/>
          <w:szCs w:val="24"/>
        </w:rPr>
        <w:t>1.2.1 上柜主体材料为≥1.2mm厚冷轧钢板，正面、左右两侧操作面板后方为功能柱式夹层结构，夹层内空间宽度≥95mm，以便容纳安装电、气等系统管线，台面操作宽度应≥1250mmm，深度大于≥700mm（距离为气翼背板距离，含内衬板）;</w:t>
      </w:r>
    </w:p>
    <w:p w14:paraId="3405D074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1.2.2 内衬板采用厚度≥5mm实验室专用陶瓷纤维板，具备阻燃、耐高温、抗酸碱、抗老化性能。</w:t>
      </w:r>
    </w:p>
    <w:p w14:paraId="5E1AB8B9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1.2.3 导流板结构设置合理，其材质与内衬板相同，导流板安装位置与角度需使排气分布均匀，在标准状況下，导流板上方与中、下方出口排风量各约50±10％，以确保不同比重之气体均能有效排出。</w:t>
      </w:r>
    </w:p>
    <w:p w14:paraId="422D6F18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1.2.4集气罩采用PP材质，集气罩需具有良好的锥形集气角度及圆滑度，保证集气平均性及低压损。</w:t>
      </w:r>
    </w:p>
    <w:p w14:paraId="640BB60C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FF0000"/>
          <w:kern w:val="0"/>
          <w:sz w:val="24"/>
          <w:szCs w:val="24"/>
        </w:rPr>
        <w:t>1.2.5</w:t>
      </w:r>
      <w:r>
        <w:rPr>
          <w:rFonts w:hint="eastAsia" w:ascii="仿宋" w:hAnsi="仿宋" w:eastAsia="仿宋" w:cs="仿宋"/>
          <w:kern w:val="0"/>
          <w:sz w:val="24"/>
          <w:szCs w:val="24"/>
        </w:rPr>
        <w:t xml:space="preserve"> 内衬板和导流板须具有优越的抗老化性能，依据 GB/T 16422.2-2022《塑料 实验室光源暴露试验方法 第2部分：氙弧灯》标准开展加速老化试验。</w:t>
      </w:r>
    </w:p>
    <w:p w14:paraId="3053CB65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试验条件：黑标温度计 65℃，光照循环 102min 干燥、18min 喷淋，辐照度 0.51W/(m²·nm)，总暴露时长不少于1000h。老化试验完成后，按 GB/T 16422.2-2022 规定的方法评定表面变色，灰度等级不低于4级；且试样表面无开裂、粉化、变色、起泡、分层、脆化等明显老化缺陷。投标人须提供国家认可的第三方检测机构出具的带有CMA或CNAS章的检测报告</w:t>
      </w:r>
    </w:p>
    <w:p w14:paraId="19AE9DC9">
      <w:pPr>
        <w:wordWrap w:val="0"/>
        <w:spacing w:line="360" w:lineRule="auto"/>
        <w:ind w:right="8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1.2.6 移动视窗玻璃采用≥5mm厚防爆钢化玻璃，上下滑动自如，可停留于轨道任何位置，方便使用者操作。</w:t>
      </w:r>
    </w:p>
    <w:p w14:paraId="5AE7F56B">
      <w:pPr>
        <w:widowControl w:val="0"/>
        <w:numPr>
          <w:ilvl w:val="4"/>
          <w:numId w:val="0"/>
        </w:numPr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1.2.7拉门具有防坠落功能：即断开悬挂装置时，拉门停滞在最初位置附近，拉门位移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≤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25mm。</w:t>
      </w:r>
    </w:p>
    <w:p w14:paraId="0FBEFC11">
      <w:pPr>
        <w:pStyle w:val="10"/>
        <w:spacing w:line="360" w:lineRule="auto"/>
        <w:jc w:val="left"/>
        <w:rPr>
          <w:rFonts w:ascii="仿宋" w:hAnsi="仿宋" w:eastAsia="仿宋" w:cs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1.3下柜体</w:t>
      </w:r>
    </w:p>
    <w:p w14:paraId="2CD8C4C2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1.3.1下柜采用厚≥1.2mm冷轧钢板机压成型制作，表面经静电烤漆处理，柜体附高低调整脚。</w:t>
      </w:r>
    </w:p>
    <w:p w14:paraId="1301233E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1.3.2落地式底柜柜体荷重≥800公斤，提供国家认可的第三方检测机构出具的带有CMA或CNAS章的检测报告。</w:t>
      </w:r>
    </w:p>
    <w:p w14:paraId="2DB1B00E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1.3.3柜体表面涂层的环保性能需符合《环境标志产品技术要求 家具》HJ 2547-2016的限值要求；并提供国家认可的第三方检测机构出具的带有CMA或CNAS章的检测报告。</w:t>
      </w:r>
    </w:p>
    <w:p w14:paraId="14BBDB36">
      <w:pPr>
        <w:spacing w:line="360" w:lineRule="auto"/>
        <w:rPr>
          <w:rFonts w:ascii="仿宋" w:hAnsi="仿宋" w:eastAsia="仿宋" w:cs="仿宋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1.4 操作台面</w:t>
      </w:r>
    </w:p>
    <w:p w14:paraId="05D55D18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1.4.1 台面</w:t>
      </w:r>
      <w:r>
        <w:rPr>
          <w:rFonts w:hint="eastAsia" w:ascii="仿宋" w:hAnsi="仿宋" w:eastAsia="仿宋"/>
          <w:sz w:val="24"/>
          <w:lang w:eastAsia="zh-CN"/>
        </w:rPr>
        <w:t>采用20/25mm厚一体成型高温烧制陶瓷台面，台面表面耐高温、耐腐蚀、耐磨、不脱色、不变色、美观大方。</w:t>
      </w:r>
    </w:p>
    <w:p w14:paraId="65611737">
      <w:pPr>
        <w:wordWrap w:val="0"/>
        <w:spacing w:line="360" w:lineRule="auto"/>
        <w:ind w:right="6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FF0000"/>
          <w:sz w:val="24"/>
          <w:szCs w:val="24"/>
          <w:lang w:eastAsia="zh-CN"/>
        </w:rPr>
        <w:t xml:space="preserve">1.4.2 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台面性能一：放射性核素限量。依据《建筑材料放射性核素限量》GB 6566-2010 及《陶瓷岩板》GB/T 44309-2024 相关规定进行检测，结果须符合A类装饰装修材料要求（内照射指数IRa≤1.0，外照射指数Iγ≤1.3），室内使用不受限制。提供国家认可的第三方检测机构出具的带有CMA或CNAS章的检测报告。</w:t>
      </w:r>
    </w:p>
    <w:p w14:paraId="58C48D58">
      <w:pPr>
        <w:wordWrap w:val="0"/>
        <w:spacing w:line="360" w:lineRule="auto"/>
        <w:ind w:right="6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1.4.3 1.4.3 台面性能二：抗冲击性.依据GB/T 44309-2024《陶瓷岩板》附录B台面用岩板抗冲击试验方法检测，采用112g钢球750mm高度自由落下冲击试样，板面无裂纹、破损、剥落为合格。投标人须提供CMA/CNAS资质第三方检测报告。</w:t>
      </w:r>
    </w:p>
    <w:p w14:paraId="076F462F">
      <w:pPr>
        <w:wordWrap w:val="0"/>
        <w:spacing w:line="360" w:lineRule="auto"/>
        <w:ind w:right="60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FF0000"/>
          <w:sz w:val="24"/>
          <w:szCs w:val="24"/>
          <w:lang w:eastAsia="zh-CN"/>
        </w:rPr>
        <w:t xml:space="preserve">1.4.4 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台面性能三：耐化学腐蚀性。陶瓷台面须具备卓越的耐化学腐蚀性能，可抵御强酸、强碱及各类有机溶剂腐蚀。参照《陶瓷砖试验方法 第13部分：耐化学腐蚀性的测定》GB/T 3810.13-2016 标准，同一份检测报告需包含但不限于以下代表性试剂：硝酸溶液、硼酸溶液、酒石酸溶液、草酸溶液、二氯甲烷（AR99.5%）、异戊烷（AR99%）、邻苯二甲酸二甲酯（AR99%）、乙二醇丁醚醋酸酯（AR98%）、乙二胺四乙酸钠溶液 、乙酰氯、酚酞指示剂（10g/L）、吐温40（棕榈酸）（AR）等至少45种化学试剂。要求污染物接触时长≥24h，检测结果均达到ULA级（浸泡后表面无可见变化）。须提供通过CMA或CNAS认证的检测机构出具的符合上述参数的检测报告。</w:t>
      </w:r>
    </w:p>
    <w:p w14:paraId="52E42B0D">
      <w:pPr>
        <w:pStyle w:val="10"/>
        <w:spacing w:line="360" w:lineRule="auto"/>
        <w:ind w:left="482" w:hanging="482" w:hangingChars="200"/>
        <w:jc w:val="left"/>
        <w:rPr>
          <w:rFonts w:ascii="仿宋" w:hAnsi="仿宋" w:eastAsia="仿宋" w:cs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1.5 通风橱附属配件</w:t>
      </w:r>
    </w:p>
    <w:p w14:paraId="1654717C">
      <w:pPr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1.5.1 照明设备: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 w:bidi="ar"/>
        </w:rPr>
        <w:t>配置≥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68W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 w:bidi="ar"/>
        </w:rPr>
        <w:t>专业照明设备，台面照度≥500lx，满足实验操作采光需求。</w:t>
      </w:r>
    </w:p>
    <w:p w14:paraId="40925AC5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1.5.2 控制面板:设有电源、开关、照明、风机以及运转指示灯等按钮，显示通风橱的运行情况。</w:t>
      </w:r>
    </w:p>
    <w:p w14:paraId="49B0FE4C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1.5.3 标配</w:t>
      </w:r>
      <w:r>
        <w:rPr>
          <w:rFonts w:hint="eastAsia" w:ascii="仿宋" w:hAnsi="仿宋" w:eastAsia="仿宋" w:cs="仿宋"/>
          <w:snapToGrid w:val="0"/>
          <w:kern w:val="0"/>
          <w:sz w:val="24"/>
          <w:szCs w:val="24"/>
          <w:lang w:bidi="ar"/>
        </w:rPr>
        <w:t>≥</w:t>
      </w:r>
      <w:r>
        <w:rPr>
          <w:rFonts w:hint="eastAsia" w:ascii="仿宋" w:hAnsi="仿宋" w:eastAsia="仿宋" w:cs="仿宋"/>
          <w:kern w:val="0"/>
          <w:sz w:val="24"/>
          <w:szCs w:val="24"/>
        </w:rPr>
        <w:t>4个国标插座（220V/10A），满足实验设备供电需求。</w:t>
      </w:r>
    </w:p>
    <w:p w14:paraId="2618956F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1.5.4 水龙头选用黄铜管和陶瓷阀芯，陶瓷阀芯可90度旋转、耐磨、耐腐蚀，鹅颈出水管可360度旋转；</w:t>
      </w:r>
    </w:p>
    <w:p w14:paraId="1829856A">
      <w:pPr>
        <w:pStyle w:val="10"/>
        <w:spacing w:line="360" w:lineRule="auto"/>
        <w:jc w:val="left"/>
        <w:rPr>
          <w:rFonts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1.5.5 水槽采用全新PP料及优质色母料，无碳酸钙成分；下水口与水槽一体注塑成型，水槽内壁无缩印，槽体底部有导流线。并提供国家认可的第三方检测机构出具的带有CMA</w:t>
      </w: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或</w:t>
      </w:r>
      <w:r>
        <w:rPr>
          <w:rFonts w:hint="eastAsia" w:ascii="仿宋" w:hAnsi="仿宋" w:eastAsia="仿宋" w:cs="仿宋"/>
          <w:kern w:val="0"/>
          <w:sz w:val="24"/>
          <w:szCs w:val="24"/>
        </w:rPr>
        <w:t>NAS章的水槽紫外老化测试和耐污染性能检测报告。</w:t>
      </w:r>
    </w:p>
    <w:p w14:paraId="0BEFEEEE">
      <w:pPr>
        <w:pStyle w:val="11"/>
        <w:widowControl w:val="0"/>
        <w:kinsoku/>
        <w:topLinePunct/>
        <w:autoSpaceDN/>
        <w:spacing w:line="360" w:lineRule="auto"/>
        <w:textAlignment w:val="top"/>
        <w:rPr>
          <w:rFonts w:ascii="仿宋" w:hAnsi="仿宋" w:eastAsia="仿宋" w:cs="仿宋"/>
          <w:color w:val="auto"/>
          <w:sz w:val="24"/>
          <w:szCs w:val="24"/>
          <w:lang w:eastAsia="zh-CN"/>
        </w:rPr>
      </w:pPr>
    </w:p>
    <w:p w14:paraId="0EADD583">
      <w:pPr>
        <w:pStyle w:val="11"/>
        <w:widowControl w:val="0"/>
        <w:kinsoku/>
        <w:topLinePunct/>
        <w:autoSpaceDN/>
        <w:spacing w:line="360" w:lineRule="auto"/>
        <w:textAlignment w:val="top"/>
        <w:rPr>
          <w:rFonts w:ascii="仿宋" w:hAnsi="仿宋" w:eastAsia="仿宋" w:cs="仿宋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2、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防腐变频离心排风机(带隔音箱）</w:t>
      </w:r>
    </w:p>
    <w:p w14:paraId="3DE4CD25">
      <w:pPr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FF0000"/>
          <w:sz w:val="24"/>
          <w:szCs w:val="24"/>
          <w:lang w:eastAsia="zh-CN"/>
        </w:rPr>
        <w:t xml:space="preserve">2.1 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风机整体要求：</w:t>
      </w:r>
    </w:p>
    <w:p w14:paraId="263A9C59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风机一：风量≥17000m³/h  风压1550-1750pa；功率≥15KW；</w:t>
      </w:r>
    </w:p>
    <w:p w14:paraId="2138738C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风机二：风量≥24000m³/h  风压2250-2550pa；功率≥37KW。</w:t>
      </w:r>
    </w:p>
    <w:p w14:paraId="0DB59063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FF0000"/>
          <w:sz w:val="24"/>
          <w:szCs w:val="24"/>
          <w:lang w:eastAsia="zh-CN"/>
        </w:rPr>
        <w:t xml:space="preserve">2.2 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为了保证风机性能能满足设计要求，所供风机型号需获得AMCA认证；整机WF2防腐证书(提供以上认证证书的影印件)。</w:t>
      </w:r>
    </w:p>
    <w:p w14:paraId="0970E73B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FF0000"/>
          <w:sz w:val="24"/>
          <w:szCs w:val="24"/>
          <w:lang w:eastAsia="zh-CN"/>
        </w:rPr>
        <w:t xml:space="preserve">2.3 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为响应国家节能减排、双碳政策要求，风机需获得由 CQC 颁发的《中国节能产品认证证书》；提供CMA或CNAS认证的高效节能检测报告。</w:t>
      </w:r>
    </w:p>
    <w:p w14:paraId="4B637DED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2.4 提供相应证书以及一级能效证书。</w:t>
      </w:r>
    </w:p>
    <w:p w14:paraId="42E2CF7B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2.5 外壳及叶轮材质：FRP 耐酸碱 VinylEster(乙烯基脂树脂+无碱玻璃纤维)制作。</w:t>
      </w:r>
    </w:p>
    <w:p w14:paraId="123E681F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2.6 轴心材质：45#钢(玻璃钢包覆或环氧树脂喷涂)，不接触废气设计。</w:t>
      </w:r>
    </w:p>
    <w:p w14:paraId="7F2D16D8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2.7 所有紧固件需采用 SUS316 作预埋防止腐蚀，外部裸漏部分需采用帽套结构。</w:t>
      </w:r>
    </w:p>
    <w:p w14:paraId="7FD25566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2.8 电机电源：380V、3相、50HZ。</w:t>
      </w:r>
    </w:p>
    <w:p w14:paraId="432330DA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2.9 电机防护等级 IP55；绝缘系数：F 级、B 级温升考核；电机需带有防雨罩。</w:t>
      </w:r>
    </w:p>
    <w:p w14:paraId="3815EC58">
      <w:pPr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2.10 隔音箱采用整体封闭拼装式，适配投标型号玻璃钢离心风机，预留检修口、进排风通道、以及隔音箱散热窗以保障风机与轴承正常工作、电缆进线口等。</w:t>
      </w:r>
    </w:p>
    <w:p w14:paraId="3C18BAF2">
      <w:pPr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2.11 隔音箱框架采用铝合金材质，防锈耐腐蚀。箱体板材采用外层冷轧钢板或镀锌钢板，厚度≥1.5mm;内层穿孔吸音板，厚度≥1.2mm，孔径3-5mm，穿孔率≥25%。</w:t>
      </w:r>
    </w:p>
    <w:p w14:paraId="1BC89AA0">
      <w:pPr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2.12 检修门:设置检修门，带锁扣，门体双层隔音结构。</w:t>
      </w:r>
    </w:p>
    <w:p w14:paraId="79E0B540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 w:bidi="ar"/>
        </w:rPr>
        <w:t>2.13隔音箱隔音性能参照</w:t>
      </w:r>
      <w:r>
        <w:rPr>
          <w:rStyle w:val="8"/>
          <w:rFonts w:hint="eastAsia"/>
          <w:b w:val="0"/>
          <w:color w:val="auto"/>
          <w:sz w:val="24"/>
          <w:szCs w:val="24"/>
          <w:lang w:eastAsia="zh-CN" w:bidi="ar"/>
        </w:rPr>
        <w:t>《声学 隔声罩的隔声性能测定》GB/T 18699.1-2002标准；</w:t>
      </w:r>
      <w:r>
        <w:rPr>
          <w:rFonts w:hint="eastAsia"/>
          <w:color w:val="auto"/>
          <w:sz w:val="24"/>
          <w:szCs w:val="24"/>
          <w:lang w:eastAsia="zh-CN"/>
        </w:rPr>
        <w:t>提供国家认可的第三方检测机构出具的带有CMA或NAS章的检测报告。</w:t>
      </w:r>
    </w:p>
    <w:p w14:paraId="3C96633E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</w:p>
    <w:p w14:paraId="706A1943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3、喷淋塔</w:t>
      </w:r>
    </w:p>
    <w:p w14:paraId="31581414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color w:val="FF0000"/>
          <w:sz w:val="24"/>
          <w:szCs w:val="24"/>
          <w:lang w:eastAsia="zh-CN"/>
        </w:rPr>
        <w:t xml:space="preserve">3.1 </w:t>
      </w:r>
      <w:r>
        <w:rPr>
          <w:rFonts w:hint="eastAsia"/>
          <w:color w:val="auto"/>
          <w:sz w:val="24"/>
          <w:szCs w:val="24"/>
          <w:lang w:eastAsia="zh-CN"/>
        </w:rPr>
        <w:t>风机整体要求：</w:t>
      </w:r>
    </w:p>
    <w:p w14:paraId="1B071D1B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喷淋塔设备一：处理风量≥25000m³/h。配槽内立式泵≥7KW。</w:t>
      </w:r>
    </w:p>
    <w:p w14:paraId="7AF4667A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喷淋塔设备二：处理风量≥20000m³/h。配槽内立式泵≥5KW。</w:t>
      </w:r>
    </w:p>
    <w:p w14:paraId="0D0C5614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3.2 设备由贮液箱、塔体、进风段、喷淋层、填料层、除雾层、全自动加药装置、出风口、观检孔等组成，投标文件内针对每台设备均需要提供标准设备三视图、三维图、SOP使用说明手册等资料作为设备说明材料。</w:t>
      </w:r>
    </w:p>
    <w:p w14:paraId="2D4EE534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3.3 喷淋塔采用PP材质，塔体材料壁板≥10mm，底板≥12mm，塔体材质阻燃性能需符合国标B1(C)级。洗涤塔PP材质表面需做抗紫外线涂层。</w:t>
      </w:r>
    </w:p>
    <w:p w14:paraId="46BBCE9D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3.4 立式洗涤塔为双层喷淋段加一层除雾段，设备内部采用加强结构，水管采用外部水管，不可通过水管作为结构加强件。</w:t>
      </w:r>
    </w:p>
    <w:p w14:paraId="2DF224E5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3.5 净化设备进气口、排放口、液位箱、供水管与外部连接处的连接应方便可靠。各连接处无漏气、滴水现象。</w:t>
      </w:r>
    </w:p>
    <w:p w14:paraId="3D7E2016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3.6 净化设备在工况情况下发生短路,应能自动停机,且不能启动。</w:t>
      </w:r>
    </w:p>
    <w:p w14:paraId="2AA1BCFE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3.7 喷淋塔的填料层、除雾层上均需设置检修口、观察口。洗涤塔出口设置除雾器。循环水泵采用耐化学腐蚀、过流材质的水泵，配置有备用泵。</w:t>
      </w:r>
    </w:p>
    <w:p w14:paraId="19DC1D50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3.8 净化装置应符合本标准的要求，并按照经过规定程序批准的图纸和技术文件制造。</w:t>
      </w:r>
    </w:p>
    <w:p w14:paraId="2C5D5304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3.9 洗涤塔循环水箱中应配置pH计，监测循环液的pH值，控制塔的加药系统。</w:t>
      </w:r>
    </w:p>
    <w:p w14:paraId="134688D6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3.10全自动加药装置应采用机械式隔膜计量泵，加药流量≥100L/H，压力≥1mpa，配置自动流量调节功能，实现0-100%流量可调。隔膜有效直径≥45mm，接口口径≥DN8。接入及排出管路采用快接接头，配置安全阀及单向止回阀。</w:t>
      </w:r>
    </w:p>
    <w:p w14:paraId="13FC3F0E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</w:p>
    <w:p w14:paraId="4F0BB03C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4、通风房</w:t>
      </w:r>
    </w:p>
    <w:p w14:paraId="0E74D7D3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4.1 通风房的排风量：换气次数15-20次/小时。</w:t>
      </w:r>
    </w:p>
    <w:p w14:paraId="33886DF4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4.2 通风房主体结构采用≥30mm×30mm铝合金型材搭建，内部结构模块化组合设计，能够容纳水、电气路等设施，集成装配化结构；侧板采用≥1mm厚冷轧钢板且内外层均经过抗腐蚀处理。</w:t>
      </w:r>
    </w:p>
    <w:p w14:paraId="13EEFB3E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4.3 通风柱钣金厚度≥1mm；通风柱布点灵活、科学合理；安装与开孔位置使排气分布均匀，无暗角。通风柱采用非均匀布置的通风孔，在标准状况下，确保不同比重和不同层面的有害气体均能有效排除。</w:t>
      </w:r>
    </w:p>
    <w:p w14:paraId="52292595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4.4 内部侧板采用阻燃性能防火板。</w:t>
      </w:r>
    </w:p>
    <w:p w14:paraId="0F93977A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4.5 前视窗主体采用折叠门设计，边框采用≥1mm厚度冷轧钢板加工制作，内嵌≥5mm钢化玻璃，边框表面经环氧树脂粉末静电喷涂烤漆工艺处理。</w:t>
      </w:r>
    </w:p>
    <w:p w14:paraId="2C26EEB3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4.6 前视窗侧翼设有功能柱设计，模块化装配控制面板，防爆插座等设备。</w:t>
      </w:r>
    </w:p>
    <w:p w14:paraId="6CA01886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4.7 前视窗正面设有进风口，确保任何移门状态下流入通风橱腔体内的气流趋于稳定。</w:t>
      </w:r>
    </w:p>
    <w:p w14:paraId="54D9C22B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4.8 通过气流仿真确定位置尺寸，增大排风，稳定气流，消除室内紊流，提高通风房内换风效果。</w:t>
      </w:r>
    </w:p>
    <w:p w14:paraId="40FABE44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4.9 通风房顶部集气罩采用≥1mm厚度冷轧钢板加工制作而成，表面经环氧树脂粉末静电喷涂烤漆工艺处理，集气罩设有专用排风管道连接排风柱，确保室内气体高效排除。</w:t>
      </w:r>
    </w:p>
    <w:p w14:paraId="6E621DF4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4.10 照明装置采用防爆灯，插座采用防爆插座面板。</w:t>
      </w:r>
    </w:p>
    <w:p w14:paraId="4523FF05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4.11 断路器：有独立的电力通断装置，并具有漏电、过流、短路的保护能力，断路器配防水盖，满足IP67防护等级。</w:t>
      </w:r>
    </w:p>
    <w:p w14:paraId="10FB3384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</w:p>
    <w:p w14:paraId="0FF41A7C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5、万向罩</w:t>
      </w:r>
    </w:p>
    <w:p w14:paraId="22A8BE1F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5.1主体：铝合金材质。</w:t>
      </w:r>
    </w:p>
    <w:p w14:paraId="3E927225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5.2直管及罩子旋转装置材料为铝合金，可360°旋转。</w:t>
      </w:r>
    </w:p>
    <w:p w14:paraId="1331C8D7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5.3关节PP由全新料生产，可360°旋转调节方向，易拆卸、重组及清洗。</w:t>
      </w:r>
    </w:p>
    <w:p w14:paraId="77F299F2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5.4关节连接杆：304不锈钢。</w:t>
      </w:r>
    </w:p>
    <w:p w14:paraId="3108E1CF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5.5关节松紧旋钮：全铜材质确保螺纹不滑丝，内嵌不锈钢轴承，与关节连接杆锁合。</w:t>
      </w:r>
    </w:p>
    <w:p w14:paraId="3CCB96A5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 xml:space="preserve">5.6气流调节阀：手动调节外部阀门旋钮，控制进入之气流量。 </w:t>
      </w:r>
    </w:p>
    <w:p w14:paraId="695F069D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5.7连接管：铝合金管，直径≥75mm；</w:t>
      </w:r>
    </w:p>
    <w:p w14:paraId="7D8DAA98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5.8集气罩：高密度PP或PC材质；</w:t>
      </w:r>
    </w:p>
    <w:p w14:paraId="3ED68932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5.9固定底座：采用PP或铝合金材质。</w:t>
      </w:r>
    </w:p>
    <w:p w14:paraId="475A264B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5.10 抽气罩参照《塑料 实验室光源暴露试验方法 第 3 部分：荧光紫外灯》GB/T 16422.3-2022、《色漆和清漆 涂层老化的评级方法》GB/T 1766-2008标准，通过紫外老化测试,并提供国家认可的第三方检测机构出具的带有CMA或CNAS章的检测报告。</w:t>
      </w:r>
    </w:p>
    <w:p w14:paraId="687BF0FF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</w:p>
    <w:p w14:paraId="75D95A19">
      <w:pPr>
        <w:pStyle w:val="3"/>
        <w:spacing w:line="360" w:lineRule="auto"/>
        <w:rPr>
          <w:b/>
          <w:bCs/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6、顶吸式吸风罩</w:t>
      </w:r>
    </w:p>
    <w:p w14:paraId="2E626DC4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6.1主体材质：304不锈钢，板材厚度≥1.2mm，加强筋≥1.5mm，表面拉丝哑光或镜面抛光处理，焊缝满焊打磨。</w:t>
      </w:r>
    </w:p>
    <w:p w14:paraId="1119B546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6.2 结构形式：顶吸式集气罩，整体冲压或折弯焊接成型，内置导流板。</w:t>
      </w:r>
    </w:p>
    <w:p w14:paraId="224BF355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 xml:space="preserve">6.3 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尺寸：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 w:bidi="ar"/>
        </w:rPr>
        <w:t>1300×1000（mm)，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罩体高度：150–250mm</w:t>
      </w:r>
    </w:p>
    <w:p w14:paraId="56C2C07F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6.4 安装方式：顶部法兰或吊耳吊装，法兰厚度≥3mm</w:t>
      </w:r>
    </w:p>
    <w:p w14:paraId="085F9FF5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6.5集气风速：罩口面风速 0.5–1.0m/s，污染源处风速≥0.8m/s</w:t>
      </w:r>
    </w:p>
    <w:p w14:paraId="578828FC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6.6适用风量：2500–4000m³/h</w:t>
      </w:r>
    </w:p>
    <w:p w14:paraId="1D99211E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6.7 风压：适配排风系统静压 150–300Pa</w:t>
      </w:r>
    </w:p>
    <w:p w14:paraId="16984003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6.8排风接口：标准法兰连接，配密封胶条，可接 PP / 镀锌 / 不锈钢风管</w:t>
      </w:r>
    </w:p>
    <w:p w14:paraId="69DC6AD6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6.9结构配件：吊件采用不锈钢膨胀螺栓 + 吊杆，承重≥50kg</w:t>
      </w:r>
    </w:p>
    <w:p w14:paraId="19F50E17">
      <w:pPr>
        <w:pStyle w:val="3"/>
        <w:spacing w:line="360" w:lineRule="auto"/>
        <w:rPr>
          <w:color w:val="auto"/>
          <w:sz w:val="24"/>
          <w:szCs w:val="24"/>
          <w:lang w:eastAsia="zh-CN"/>
        </w:rPr>
      </w:pPr>
      <w:r>
        <w:rPr>
          <w:rFonts w:hint="eastAsia"/>
          <w:b/>
          <w:bCs/>
          <w:color w:val="auto"/>
          <w:sz w:val="24"/>
          <w:szCs w:val="24"/>
          <w:lang w:eastAsia="zh-CN"/>
        </w:rPr>
        <w:t>7、通风橱控制系统</w:t>
      </w:r>
    </w:p>
    <w:p w14:paraId="285C5B79">
      <w:pPr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3.1 系统由控制面板、风速传感器、位移传感器、高速电动执行器、防腐蝶阀组成，可实时监测、动态调节面风速，恒定维持标准面风速，系统响应时间≤3秒。</w:t>
      </w:r>
    </w:p>
    <w:p w14:paraId="6606B786">
      <w:pPr>
        <w:shd w:val="solid" w:color="FFFFFF" w:fill="auto"/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3.2 具备完善声光报警功能，风速异常、门位过高、设备故障时及时报警，支持紧急排风模式，突发工况下可最大化开启排风，保障实验室安全。</w:t>
      </w:r>
    </w:p>
    <w:p w14:paraId="04ABED54">
      <w:pPr>
        <w:shd w:val="solid" w:color="FFFFFF" w:fill="auto"/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3.3 控制面板≥3.5寸触摸屏。</w:t>
      </w:r>
    </w:p>
    <w:p w14:paraId="107E1778">
      <w:pPr>
        <w:shd w:val="solid" w:color="FFFFFF" w:fill="auto"/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3.4 高精度位移传感器0～1200mm可调，外壳和线轮均经过防腐处理，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 w:bidi="ar"/>
        </w:rPr>
        <w:t>适配实验室腐蚀工况。</w:t>
      </w:r>
    </w:p>
    <w:p w14:paraId="2916619A">
      <w:pPr>
        <w:shd w:val="solid" w:color="FFFFFF" w:fill="auto"/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FF0000"/>
          <w:sz w:val="24"/>
          <w:szCs w:val="24"/>
          <w:lang w:eastAsia="zh-CN"/>
        </w:rPr>
        <w:t xml:space="preserve">3.5 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变风量蝶阀须具有优异的防腐特性且便于安装维护，其耐液体化学试剂性能：阀体过流塑料部件依据《塑料耐液体化学试剂性能的测定》GB/T 11547-2008的相关规定，选取无机酸、碱、盐、有机溶剂、指示剂、助剂等试剂≥45种，浸泡时长≥24h，试样无溶胀、开裂、变色、分层、失重超标等异常。提供CMA的检测报告。</w:t>
      </w:r>
    </w:p>
    <w:p w14:paraId="4725ACC5">
      <w:pPr>
        <w:shd w:val="solid" w:color="FFFFFF" w:fill="auto"/>
        <w:spacing w:line="360" w:lineRule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</w:p>
    <w:p w14:paraId="3A8AE9D1">
      <w:pPr>
        <w:wordWrap w:val="0"/>
        <w:spacing w:line="360" w:lineRule="auto"/>
        <w:jc w:val="both"/>
        <w:rPr>
          <w:rFonts w:ascii="仿宋" w:hAnsi="仿宋" w:eastAsia="仿宋" w:cs="仿宋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8、风机变频控制系统</w:t>
      </w:r>
      <w:bookmarkStart w:id="0" w:name="_GoBack"/>
      <w:bookmarkEnd w:id="0"/>
    </w:p>
    <w:p w14:paraId="1F0EA4AA">
      <w:pPr>
        <w:wordWrap w:val="0"/>
        <w:spacing w:line="360" w:lineRule="auto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4.1 风机变频控制要求：主要控制风机所提供的风量和风压，保证通风橱正常使用的风量要求；当通风橱使用数量改变时，调整风机转速，确保通风橱达到需求风量。</w:t>
      </w:r>
    </w:p>
    <w:p w14:paraId="34A80163">
      <w:pPr>
        <w:wordWrap w:val="0"/>
        <w:spacing w:line="360" w:lineRule="auto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4.2 由控制箱控制风机的运行。控制箱由变频器、开关电源、空气开关、断路器、交流接触器、中间继电器等原件组成。</w:t>
      </w:r>
    </w:p>
    <w:p w14:paraId="55D60167">
      <w:pPr>
        <w:wordWrap w:val="0"/>
        <w:spacing w:line="360" w:lineRule="auto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4.3 控制箱具有远程控制、过流、过压、过热、漏电、缺相、急停等保护功能。</w:t>
      </w:r>
    </w:p>
    <w:p w14:paraId="773301B5">
      <w:pPr>
        <w:wordWrap w:val="0"/>
        <w:spacing w:line="360" w:lineRule="auto"/>
        <w:jc w:val="both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4.4 风机设置定时开关装置，安装于采购人指定位置。</w:t>
      </w:r>
    </w:p>
    <w:p w14:paraId="54074C5E">
      <w:pPr>
        <w:widowControl w:val="0"/>
        <w:kinsoku/>
        <w:autoSpaceDE/>
        <w:autoSpaceDN/>
        <w:adjustRightInd/>
        <w:snapToGrid/>
        <w:spacing w:line="360" w:lineRule="auto"/>
        <w:textAlignment w:val="auto"/>
        <w:rPr>
          <w:rFonts w:ascii="仿宋" w:hAnsi="仿宋" w:eastAsia="仿宋" w:cs="仿宋"/>
          <w:color w:val="auto"/>
          <w:sz w:val="24"/>
          <w:szCs w:val="24"/>
          <w:lang w:eastAsia="zh-CN"/>
        </w:rPr>
      </w:pPr>
    </w:p>
    <w:p w14:paraId="1476B57E">
      <w:pPr>
        <w:widowControl w:val="0"/>
        <w:kinsoku/>
        <w:wordWrap w:val="0"/>
        <w:topLinePunct/>
        <w:autoSpaceDN/>
        <w:spacing w:line="360" w:lineRule="auto"/>
        <w:jc w:val="center"/>
        <w:textAlignment w:val="top"/>
        <w:rPr>
          <w:rFonts w:ascii="仿宋" w:hAnsi="仿宋" w:eastAsia="仿宋" w:cs="仿宋"/>
          <w:b/>
          <w:color w:val="auto"/>
          <w:sz w:val="28"/>
          <w:szCs w:val="28"/>
          <w:lang w:eastAsia="zh-CN"/>
        </w:rPr>
      </w:pPr>
    </w:p>
    <w:p w14:paraId="291D5FFE">
      <w:pPr>
        <w:rPr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1E66B5"/>
    <w:rsid w:val="00096536"/>
    <w:rsid w:val="000D65F9"/>
    <w:rsid w:val="00447A37"/>
    <w:rsid w:val="00937413"/>
    <w:rsid w:val="00C95DC0"/>
    <w:rsid w:val="00F17235"/>
    <w:rsid w:val="05C01B30"/>
    <w:rsid w:val="3B7047B2"/>
    <w:rsid w:val="59CE4EB0"/>
    <w:rsid w:val="5A1E66B5"/>
    <w:rsid w:val="6E44352F"/>
    <w:rsid w:val="71527879"/>
    <w:rsid w:val="73C8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12"/>
      <w:szCs w:val="12"/>
    </w:rPr>
  </w:style>
  <w:style w:type="paragraph" w:styleId="4">
    <w:name w:val="Balloon Text"/>
    <w:basedOn w:val="1"/>
    <w:link w:val="14"/>
    <w:uiPriority w:val="0"/>
    <w:rPr>
      <w:sz w:val="18"/>
      <w:szCs w:val="18"/>
    </w:rPr>
  </w:style>
  <w:style w:type="paragraph" w:styleId="5">
    <w:name w:val="annotation subject"/>
    <w:basedOn w:val="2"/>
    <w:next w:val="2"/>
    <w:link w:val="13"/>
    <w:qFormat/>
    <w:uiPriority w:val="0"/>
    <w:rPr>
      <w:b/>
      <w:bCs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annotation reference"/>
    <w:basedOn w:val="7"/>
    <w:qFormat/>
    <w:uiPriority w:val="0"/>
    <w:rPr>
      <w:sz w:val="21"/>
      <w:szCs w:val="21"/>
    </w:rPr>
  </w:style>
  <w:style w:type="paragraph" w:customStyle="1" w:styleId="10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11"/>
      <w:szCs w:val="11"/>
    </w:rPr>
  </w:style>
  <w:style w:type="character" w:customStyle="1" w:styleId="12">
    <w:name w:val="批注文字 字符"/>
    <w:basedOn w:val="7"/>
    <w:link w:val="2"/>
    <w:qFormat/>
    <w:uiPriority w:val="0"/>
    <w:rPr>
      <w:rFonts w:ascii="Arial" w:hAnsi="Arial" w:eastAsia="Arial" w:cs="Arial"/>
      <w:snapToGrid w:val="0"/>
      <w:color w:val="000000"/>
      <w:sz w:val="21"/>
      <w:szCs w:val="21"/>
      <w:lang w:eastAsia="en-US"/>
    </w:rPr>
  </w:style>
  <w:style w:type="character" w:customStyle="1" w:styleId="13">
    <w:name w:val="批注主题 字符"/>
    <w:basedOn w:val="12"/>
    <w:link w:val="5"/>
    <w:qFormat/>
    <w:uiPriority w:val="0"/>
    <w:rPr>
      <w:rFonts w:ascii="Arial" w:hAnsi="Arial" w:eastAsia="Arial" w:cs="Arial"/>
      <w:b/>
      <w:bCs/>
      <w:snapToGrid w:val="0"/>
      <w:color w:val="000000"/>
      <w:sz w:val="21"/>
      <w:szCs w:val="21"/>
      <w:lang w:eastAsia="en-US"/>
    </w:rPr>
  </w:style>
  <w:style w:type="character" w:customStyle="1" w:styleId="14">
    <w:name w:val="批注框文本 字符"/>
    <w:basedOn w:val="7"/>
    <w:link w:val="4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09646-8FA8-4E09-8A59-9C9FAD3A596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9</Pages>
  <Words>5664</Words>
  <Characters>6847</Characters>
  <Lines>51</Lines>
  <Paragraphs>14</Paragraphs>
  <TotalTime>40</TotalTime>
  <ScaleCrop>false</ScaleCrop>
  <LinksUpToDate>false</LinksUpToDate>
  <CharactersWithSpaces>7008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2026-07-16T08:45:00Z</dcterms:created>
  <dc:creator>xipk</dc:creator>
  <cp:lastModifiedBy>张帅磊</cp:lastModifiedBy>
  <dcterms:modified xsi:type="dcterms:W3CDTF">2026-09-02T04:10:43Z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2242BED23E4846BAB38DDABA6D9D31A3_13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