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7A97B">
      <w:pPr>
        <w:pStyle w:val="42"/>
        <w:ind w:firstLine="1044"/>
        <w:jc w:val="center"/>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技术要求</w:t>
      </w:r>
    </w:p>
    <w:p w14:paraId="445DF669">
      <w:pPr>
        <w:pStyle w:val="42"/>
        <w:ind w:firstLine="1044"/>
        <w:jc w:val="center"/>
        <w:rPr>
          <w:rFonts w:hint="eastAsia"/>
          <w:b/>
          <w:bCs/>
          <w:color w:val="000000" w:themeColor="text1"/>
          <w:sz w:val="32"/>
          <w:szCs w:val="32"/>
          <w:highlight w:val="none"/>
          <w14:textFill>
            <w14:solidFill>
              <w14:schemeClr w14:val="tx1"/>
            </w14:solidFill>
          </w14:textFill>
        </w:rPr>
      </w:pPr>
    </w:p>
    <w:p w14:paraId="62CDCE31">
      <w:pPr>
        <w:pStyle w:val="39"/>
        <w:jc w:val="left"/>
        <w:rPr>
          <w:rFonts w:hint="eastAsia" w:ascii="仿宋" w:hAnsi="仿宋" w:eastAsia="仿宋"/>
          <w:b/>
          <w:bCs w:val="0"/>
          <w:color w:val="000000" w:themeColor="text1"/>
          <w:sz w:val="28"/>
          <w:szCs w:val="28"/>
          <w:highlight w:val="none"/>
          <w14:textFill>
            <w14:solidFill>
              <w14:schemeClr w14:val="tx1"/>
            </w14:solidFill>
          </w14:textFill>
        </w:rPr>
      </w:pPr>
      <w:bookmarkStart w:id="0" w:name="_Toc92881198"/>
      <w:bookmarkStart w:id="1" w:name="_Toc92399038"/>
      <w:bookmarkStart w:id="2" w:name="_Toc212732904"/>
      <w:r>
        <w:rPr>
          <w:rFonts w:hint="eastAsia" w:ascii="仿宋" w:hAnsi="仿宋" w:eastAsia="仿宋"/>
          <w:b/>
          <w:bCs w:val="0"/>
          <w:color w:val="000000" w:themeColor="text1"/>
          <w:sz w:val="28"/>
          <w:szCs w:val="28"/>
          <w:highlight w:val="none"/>
          <w14:textFill>
            <w14:solidFill>
              <w14:schemeClr w14:val="tx1"/>
            </w14:solidFill>
          </w14:textFill>
        </w:rPr>
        <w:t>项目</w:t>
      </w:r>
      <w:bookmarkEnd w:id="0"/>
      <w:bookmarkEnd w:id="1"/>
      <w:bookmarkEnd w:id="2"/>
      <w:r>
        <w:rPr>
          <w:rFonts w:hint="eastAsia" w:ascii="仿宋" w:hAnsi="仿宋" w:eastAsia="仿宋"/>
          <w:b/>
          <w:bCs w:val="0"/>
          <w:color w:val="000000" w:themeColor="text1"/>
          <w:sz w:val="28"/>
          <w:szCs w:val="28"/>
          <w:highlight w:val="none"/>
          <w14:textFill>
            <w14:solidFill>
              <w14:schemeClr w14:val="tx1"/>
            </w14:solidFill>
          </w14:textFill>
        </w:rPr>
        <w:t>概述</w:t>
      </w:r>
    </w:p>
    <w:p w14:paraId="0C6C070B">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本次</w:t>
      </w:r>
      <w:bookmarkStart w:id="3" w:name="OLE_LINK1"/>
      <w:r>
        <w:rPr>
          <w:rFonts w:hint="eastAsia"/>
          <w:color w:val="000000" w:themeColor="text1"/>
          <w:highlight w:val="none"/>
          <w14:textFill>
            <w14:solidFill>
              <w14:schemeClr w14:val="tx1"/>
            </w14:solidFill>
          </w14:textFill>
        </w:rPr>
        <w:t>AIGC内容创作教学应用平台项目</w:t>
      </w:r>
      <w:bookmarkEnd w:id="3"/>
      <w:r>
        <w:rPr>
          <w:rFonts w:hint="eastAsia"/>
          <w:color w:val="000000" w:themeColor="text1"/>
          <w:highlight w:val="none"/>
          <w14:textFill>
            <w14:solidFill>
              <w14:schemeClr w14:val="tx1"/>
            </w14:solidFill>
          </w14:textFill>
        </w:rPr>
        <w:t>的建设目标是以AIGC创作平台为核心，要求能够全面服务建筑与艺术学院教学场景，覆盖AI课程、各专业设计课程、课程设计、毕业设计、艺术创作实践、专业比赛等全流程，实现人工智能生成技术与专业教学的深度融合。</w:t>
      </w:r>
    </w:p>
    <w:p w14:paraId="2756F14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此外，平台还需要将个性化学习、小组协作学习、混合式学习等学习模式理念深度融入学习全过程，持续深化教学法的创新。</w:t>
      </w:r>
    </w:p>
    <w:p w14:paraId="4D73518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系统核心能力要求：</w:t>
      </w:r>
    </w:p>
    <w:p w14:paraId="5C0B002E">
      <w:pPr>
        <w:pStyle w:val="42"/>
        <w:numPr>
          <w:ilvl w:val="0"/>
          <w:numId w:val="2"/>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多维度创意生产</w:t>
      </w:r>
    </w:p>
    <w:p w14:paraId="2D12CCA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支持平面设计、艺术创作、视音频创作等全品类内容的智能生成，精准匹配专业创意表达需求。</w:t>
      </w:r>
    </w:p>
    <w:p w14:paraId="45416095">
      <w:pPr>
        <w:pStyle w:val="42"/>
        <w:numPr>
          <w:ilvl w:val="0"/>
          <w:numId w:val="2"/>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开放能力拓展</w:t>
      </w:r>
    </w:p>
    <w:p w14:paraId="78230606">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要求可兼容各类主流 AI创作工具及开源技术生态，同时围绕个性化、小组协作、混合式学习等学习模式设计拓展功能，支持师生根据教学与创作场景，以及个性化学习需求，灵活扩展专属创作工作流，适配不同师生的多元创作风格与技术探索场景。</w:t>
      </w:r>
    </w:p>
    <w:p w14:paraId="72AB0279">
      <w:pPr>
        <w:pStyle w:val="42"/>
        <w:numPr>
          <w:ilvl w:val="0"/>
          <w:numId w:val="2"/>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教学化综合支撑</w:t>
      </w:r>
    </w:p>
    <w:p w14:paraId="258AC42F">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具备可视化创作流程编排</w:t>
      </w:r>
      <w:r>
        <w:rPr>
          <w:color w:val="000000" w:themeColor="text1"/>
          <w:highlight w:val="none"/>
          <w14:textFill>
            <w14:solidFill>
              <w14:schemeClr w14:val="tx1"/>
            </w14:solidFill>
          </w14:textFill>
        </w:rPr>
        <w:t>（降低</w:t>
      </w:r>
      <w:r>
        <w:rPr>
          <w:rFonts w:hint="eastAsia"/>
          <w:color w:val="000000" w:themeColor="text1"/>
          <w:highlight w:val="none"/>
          <w14:textFill>
            <w14:solidFill>
              <w14:schemeClr w14:val="tx1"/>
            </w14:solidFill>
          </w14:textFill>
        </w:rPr>
        <w:t>技术门槛，便于课堂演示与实践操作</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、教学资源体系化管理</w:t>
      </w:r>
      <w:r>
        <w:rPr>
          <w:color w:val="000000" w:themeColor="text1"/>
          <w:highlight w:val="none"/>
          <w14:textFill>
            <w14:solidFill>
              <w14:schemeClr w14:val="tx1"/>
            </w14:solidFill>
          </w14:textFill>
        </w:rPr>
        <w:t>（支持作品管理与共享复用）</w:t>
      </w:r>
      <w:r>
        <w:rPr>
          <w:rFonts w:hint="eastAsia"/>
          <w:color w:val="000000" w:themeColor="text1"/>
          <w:highlight w:val="none"/>
          <w14:textFill>
            <w14:solidFill>
              <w14:schemeClr w14:val="tx1"/>
            </w14:solidFill>
          </w14:textFill>
        </w:rPr>
        <w:t>、算力智能动态调度</w:t>
      </w:r>
      <w:r>
        <w:rPr>
          <w:color w:val="000000" w:themeColor="text1"/>
          <w:highlight w:val="none"/>
          <w14:textFill>
            <w14:solidFill>
              <w14:schemeClr w14:val="tx1"/>
            </w14:solidFill>
          </w14:textFill>
        </w:rPr>
        <w:t>（保障</w:t>
      </w:r>
      <w:r>
        <w:rPr>
          <w:rFonts w:hint="eastAsia"/>
          <w:color w:val="000000" w:themeColor="text1"/>
          <w:highlight w:val="none"/>
          <w14:textFill>
            <w14:solidFill>
              <w14:schemeClr w14:val="tx1"/>
            </w14:solidFill>
          </w14:textFill>
        </w:rPr>
        <w:t>多用户并发创作时的系统稳定性，实现资源灵活调配</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等功能，助力 AI 创作教学开展及师生创意高效落地。</w:t>
      </w:r>
    </w:p>
    <w:p w14:paraId="57950C06">
      <w:pPr>
        <w:pStyle w:val="42"/>
        <w:numPr>
          <w:ilvl w:val="0"/>
          <w:numId w:val="2"/>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特色数据库建设</w:t>
      </w:r>
    </w:p>
    <w:p w14:paraId="0BFB30ED">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具备对师生的创作成果进行有效保存与工作流溯源的能力，形成学院特色的教学内容库与成果数据库。可供学生在个性化学习中查阅参考案例，支持小组协作学习时的成果复盘与经验共享。</w:t>
      </w:r>
    </w:p>
    <w:p w14:paraId="3E90B968">
      <w:pPr>
        <w:pStyle w:val="42"/>
        <w:numPr>
          <w:ilvl w:val="0"/>
          <w:numId w:val="2"/>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深化教学法创新</w:t>
      </w:r>
    </w:p>
    <w:p w14:paraId="5125A54B">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助力多元学习模式与教学融合，可根据学生在 AI 课程、专业设计课中的学习进度与创作偏好，推荐适配的 AI 工具与创作路径，实现“因材施教”。依托平台提供专属协作空间，方便团队开展小组协作学习与创作。</w:t>
      </w:r>
    </w:p>
    <w:p w14:paraId="2B1108F0">
      <w:pPr>
        <w:pStyle w:val="42"/>
        <w:ind w:firstLine="480"/>
        <w:rPr>
          <w:rFonts w:hint="eastAsia"/>
          <w:color w:val="000000" w:themeColor="text1"/>
          <w:highlight w:val="none"/>
          <w14:textFill>
            <w14:solidFill>
              <w14:schemeClr w14:val="tx1"/>
            </w14:solidFill>
          </w14:textFill>
        </w:rPr>
      </w:pPr>
    </w:p>
    <w:p w14:paraId="2C431845">
      <w:pPr>
        <w:pStyle w:val="39"/>
        <w:jc w:val="left"/>
        <w:rPr>
          <w:rFonts w:hint="eastAsia" w:ascii="仿宋" w:hAnsi="仿宋" w:eastAsia="仿宋"/>
          <w:b/>
          <w:bCs w:val="0"/>
          <w:color w:val="000000" w:themeColor="text1"/>
          <w:sz w:val="28"/>
          <w:szCs w:val="28"/>
          <w:highlight w:val="none"/>
          <w14:textFill>
            <w14:solidFill>
              <w14:schemeClr w14:val="tx1"/>
            </w14:solidFill>
          </w14:textFill>
        </w:rPr>
      </w:pPr>
      <w:bookmarkStart w:id="4" w:name="_Toc92881202"/>
      <w:bookmarkStart w:id="5" w:name="_Toc212732907"/>
      <w:bookmarkStart w:id="6" w:name="_Toc92399042"/>
      <w:r>
        <w:rPr>
          <w:rFonts w:hint="eastAsia" w:ascii="仿宋" w:hAnsi="仿宋" w:eastAsia="仿宋"/>
          <w:b/>
          <w:bCs w:val="0"/>
          <w:color w:val="000000" w:themeColor="text1"/>
          <w:sz w:val="28"/>
          <w:szCs w:val="28"/>
          <w:highlight w:val="none"/>
          <w14:textFill>
            <w14:solidFill>
              <w14:schemeClr w14:val="tx1"/>
            </w14:solidFill>
          </w14:textFill>
        </w:rPr>
        <w:t>整体</w:t>
      </w:r>
      <w:bookmarkEnd w:id="4"/>
      <w:r>
        <w:rPr>
          <w:rFonts w:hint="eastAsia" w:ascii="仿宋" w:hAnsi="仿宋" w:eastAsia="仿宋"/>
          <w:b/>
          <w:bCs w:val="0"/>
          <w:color w:val="000000" w:themeColor="text1"/>
          <w:sz w:val="28"/>
          <w:szCs w:val="28"/>
          <w:highlight w:val="none"/>
          <w14:textFill>
            <w14:solidFill>
              <w14:schemeClr w14:val="tx1"/>
            </w14:solidFill>
          </w14:textFill>
        </w:rPr>
        <w:t>要求</w:t>
      </w:r>
      <w:bookmarkEnd w:id="5"/>
    </w:p>
    <w:bookmarkEnd w:id="6"/>
    <w:p w14:paraId="4A1F122B">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本次项目建设主要面向</w:t>
      </w:r>
      <w:r>
        <w:rPr>
          <w:rFonts w:hint="eastAsia"/>
          <w:color w:val="000000" w:themeColor="text1"/>
          <w:kern w:val="0"/>
          <w:highlight w:val="none"/>
          <w14:textFill>
            <w14:solidFill>
              <w14:schemeClr w14:val="tx1"/>
            </w14:solidFill>
          </w14:textFill>
        </w:rPr>
        <w:t>AIGC内容创作教学应用，考虑到AIGC</w:t>
      </w:r>
      <w:r>
        <w:rPr>
          <w:rFonts w:hint="eastAsia"/>
          <w:color w:val="000000" w:themeColor="text1"/>
          <w:highlight w:val="none"/>
          <w14:textFill>
            <w14:solidFill>
              <w14:schemeClr w14:val="tx1"/>
            </w14:solidFill>
          </w14:textFill>
        </w:rPr>
        <w:t>的迅猛发展现实情况，便于技术平台能够及时更新业务能力；要求投标人做以下承诺（提供承诺函，并加盖投标人公章）：本次</w:t>
      </w:r>
      <w:r>
        <w:rPr>
          <w:rFonts w:hint="eastAsia"/>
          <w:color w:val="000000" w:themeColor="text1"/>
          <w:kern w:val="0"/>
          <w:highlight w:val="none"/>
          <w14:textFill>
            <w14:solidFill>
              <w14:schemeClr w14:val="tx1"/>
            </w14:solidFill>
          </w14:textFill>
        </w:rPr>
        <w:t>AIGC内容创作教学应用</w:t>
      </w:r>
      <w:r>
        <w:rPr>
          <w:rFonts w:hint="eastAsia"/>
          <w:color w:val="000000" w:themeColor="text1"/>
          <w:highlight w:val="none"/>
          <w14:textFill>
            <w14:solidFill>
              <w14:schemeClr w14:val="tx1"/>
            </w14:solidFill>
          </w14:textFill>
        </w:rPr>
        <w:t>系统支持</w:t>
      </w:r>
      <w:r>
        <w:rPr>
          <w:color w:val="000000" w:themeColor="text1"/>
          <w:highlight w:val="none"/>
          <w14:textFill>
            <w14:solidFill>
              <w14:schemeClr w14:val="tx1"/>
            </w14:solidFill>
          </w14:textFill>
        </w:rPr>
        <w:t>云原生分布式系统编排与管理架构</w:t>
      </w:r>
      <w:r>
        <w:rPr>
          <w:rFonts w:hint="eastAsia"/>
          <w:color w:val="000000" w:themeColor="text1"/>
          <w:highlight w:val="none"/>
          <w14:textFill>
            <w14:solidFill>
              <w14:schemeClr w14:val="tx1"/>
            </w14:solidFill>
          </w14:textFill>
        </w:rPr>
        <w:t>，部署本地大模型提供智能生成能力，支持直接调用第三方生成工具。</w:t>
      </w:r>
    </w:p>
    <w:p w14:paraId="15417C8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本次</w:t>
      </w:r>
      <w:r>
        <w:rPr>
          <w:rFonts w:hint="eastAsia"/>
          <w:color w:val="000000" w:themeColor="text1"/>
          <w:kern w:val="0"/>
          <w:highlight w:val="none"/>
          <w14:textFill>
            <w14:solidFill>
              <w14:schemeClr w14:val="tx1"/>
            </w14:solidFill>
          </w14:textFill>
        </w:rPr>
        <w:t>AIGC内容创作教学应用平台项目</w:t>
      </w:r>
      <w:r>
        <w:rPr>
          <w:rFonts w:hint="eastAsia"/>
          <w:color w:val="000000" w:themeColor="text1"/>
          <w:highlight w:val="none"/>
          <w14:textFill>
            <w14:solidFill>
              <w14:schemeClr w14:val="tx1"/>
            </w14:solidFill>
          </w14:textFill>
        </w:rPr>
        <w:t>的系统架构要求以K8S平台为基础，构成整个系统的基石。</w:t>
      </w:r>
    </w:p>
    <w:p w14:paraId="0C533FD5">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要求总体</w:t>
      </w:r>
      <w:r>
        <w:rPr>
          <w:color w:val="000000" w:themeColor="text1"/>
          <w:highlight w:val="none"/>
          <w14:textFill>
            <w14:solidFill>
              <w14:schemeClr w14:val="tx1"/>
            </w14:solidFill>
          </w14:textFill>
        </w:rPr>
        <w:t>架构</w:t>
      </w:r>
      <w:r>
        <w:rPr>
          <w:rFonts w:hint="eastAsia"/>
          <w:color w:val="000000" w:themeColor="text1"/>
          <w:highlight w:val="none"/>
          <w14:textFill>
            <w14:solidFill>
              <w14:schemeClr w14:val="tx1"/>
            </w14:solidFill>
          </w14:textFill>
        </w:rPr>
        <w:t>自下</w:t>
      </w:r>
      <w:r>
        <w:rPr>
          <w:color w:val="000000" w:themeColor="text1"/>
          <w:highlight w:val="none"/>
          <w14:textFill>
            <w14:solidFill>
              <w14:schemeClr w14:val="tx1"/>
            </w14:solidFill>
          </w14:textFill>
        </w:rPr>
        <w:t>而</w:t>
      </w:r>
      <w:r>
        <w:rPr>
          <w:rFonts w:hint="eastAsia"/>
          <w:color w:val="000000" w:themeColor="text1"/>
          <w:highlight w:val="none"/>
          <w14:textFill>
            <w14:solidFill>
              <w14:schemeClr w14:val="tx1"/>
            </w14:solidFill>
          </w14:textFill>
        </w:rPr>
        <w:t>上</w:t>
      </w:r>
      <w:r>
        <w:rPr>
          <w:color w:val="000000" w:themeColor="text1"/>
          <w:highlight w:val="none"/>
          <w14:textFill>
            <w14:solidFill>
              <w14:schemeClr w14:val="tx1"/>
            </w14:solidFill>
          </w14:textFill>
        </w:rPr>
        <w:t>的三个层次分别为</w:t>
      </w:r>
      <w:r>
        <w:rPr>
          <w:rFonts w:hint="eastAsia"/>
          <w:color w:val="000000" w:themeColor="text1"/>
          <w:highlight w:val="none"/>
          <w14:textFill>
            <w14:solidFill>
              <w14:schemeClr w14:val="tx1"/>
            </w14:solidFill>
          </w14:textFill>
        </w:rPr>
        <w:t>I</w:t>
      </w:r>
      <w:r>
        <w:rPr>
          <w:color w:val="000000" w:themeColor="text1"/>
          <w:highlight w:val="none"/>
          <w14:textFill>
            <w14:solidFill>
              <w14:schemeClr w14:val="tx1"/>
            </w14:solidFill>
          </w14:textFill>
        </w:rPr>
        <w:t>aaS</w:t>
      </w:r>
      <w:r>
        <w:rPr>
          <w:rFonts w:hint="eastAsia"/>
          <w:color w:val="000000" w:themeColor="text1"/>
          <w:highlight w:val="none"/>
          <w14:textFill>
            <w14:solidFill>
              <w14:schemeClr w14:val="tx1"/>
            </w14:solidFill>
          </w14:textFill>
        </w:rPr>
        <w:t>基础</w:t>
      </w:r>
      <w:r>
        <w:rPr>
          <w:color w:val="000000" w:themeColor="text1"/>
          <w:highlight w:val="none"/>
          <w14:textFill>
            <w14:solidFill>
              <w14:schemeClr w14:val="tx1"/>
            </w14:solidFill>
          </w14:textFill>
        </w:rPr>
        <w:t>资源平台、</w:t>
      </w:r>
      <w:r>
        <w:rPr>
          <w:rFonts w:hint="eastAsia"/>
          <w:color w:val="000000" w:themeColor="text1"/>
          <w:highlight w:val="none"/>
          <w14:textFill>
            <w14:solidFill>
              <w14:schemeClr w14:val="tx1"/>
            </w14:solidFill>
          </w14:textFill>
        </w:rPr>
        <w:t>媒体P</w:t>
      </w:r>
      <w:r>
        <w:rPr>
          <w:color w:val="000000" w:themeColor="text1"/>
          <w:highlight w:val="none"/>
          <w14:textFill>
            <w14:solidFill>
              <w14:schemeClr w14:val="tx1"/>
            </w14:solidFill>
          </w14:textFill>
        </w:rPr>
        <w:t>aa</w:t>
      </w:r>
      <w:r>
        <w:rPr>
          <w:rFonts w:hint="eastAsia"/>
          <w:color w:val="000000" w:themeColor="text1"/>
          <w:highlight w:val="none"/>
          <w14:textFill>
            <w14:solidFill>
              <w14:schemeClr w14:val="tx1"/>
            </w14:solidFill>
          </w14:textFill>
        </w:rPr>
        <w:t>S</w:t>
      </w:r>
      <w:r>
        <w:rPr>
          <w:color w:val="000000" w:themeColor="text1"/>
          <w:highlight w:val="none"/>
          <w14:textFill>
            <w14:solidFill>
              <w14:schemeClr w14:val="tx1"/>
            </w14:solidFill>
          </w14:textFill>
        </w:rPr>
        <w:t>服务平台、</w:t>
      </w:r>
      <w:r>
        <w:rPr>
          <w:rFonts w:hint="eastAsia"/>
          <w:color w:val="000000" w:themeColor="text1"/>
          <w:highlight w:val="none"/>
          <w14:textFill>
            <w14:solidFill>
              <w14:schemeClr w14:val="tx1"/>
            </w14:solidFill>
          </w14:textFill>
        </w:rPr>
        <w:t>S</w:t>
      </w:r>
      <w:r>
        <w:rPr>
          <w:color w:val="000000" w:themeColor="text1"/>
          <w:highlight w:val="none"/>
          <w14:textFill>
            <w14:solidFill>
              <w14:schemeClr w14:val="tx1"/>
            </w14:solidFill>
          </w14:textFill>
        </w:rPr>
        <w:t>aaS层</w:t>
      </w:r>
      <w:r>
        <w:rPr>
          <w:rFonts w:hint="eastAsia"/>
          <w:color w:val="000000" w:themeColor="text1"/>
          <w:highlight w:val="none"/>
          <w14:textFill>
            <w14:solidFill>
              <w14:schemeClr w14:val="tx1"/>
            </w14:solidFill>
          </w14:textFill>
        </w:rPr>
        <w:t>应用</w:t>
      </w:r>
      <w:r>
        <w:rPr>
          <w:color w:val="000000" w:themeColor="text1"/>
          <w:highlight w:val="none"/>
          <w14:textFill>
            <w14:solidFill>
              <w14:schemeClr w14:val="tx1"/>
            </w14:solidFill>
          </w14:textFill>
        </w:rPr>
        <w:t>服务</w:t>
      </w:r>
      <w:r>
        <w:rPr>
          <w:rFonts w:hint="eastAsia"/>
          <w:color w:val="000000" w:themeColor="text1"/>
          <w:highlight w:val="none"/>
          <w14:textFill>
            <w14:solidFill>
              <w14:schemeClr w14:val="tx1"/>
            </w14:solidFill>
          </w14:textFill>
        </w:rPr>
        <w:t>及工具。要求平台架构能够随业务的需求变化进行灵活扩展，能够充分考虑平台系统将来可能的扩展和业务的变动，以适应业务的迅速发展。</w:t>
      </w:r>
    </w:p>
    <w:p w14:paraId="70C47A5C">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要求以集成智能化工具简化平台切换的繁琐流程，结合节点编辑和可视化工作流降低上手门槛，提高内容创作效率。</w:t>
      </w:r>
    </w:p>
    <w:p w14:paraId="3C970D2A">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覆盖全面的内容形式（图像、视频、音频、文本等），满足不同场景的生产需求，并支持专业工具的插件式集成。支持基于开源工具ComfyUI的构建智能能力流程，无缝对接开源生态，方便用户与企业按需构建智能能力。</w:t>
      </w:r>
    </w:p>
    <w:p w14:paraId="09E0D3E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要求支持任意三方智能能力的API接入功能，并与领先的智能能力同步更新、持续扩展。</w:t>
      </w:r>
    </w:p>
    <w:p w14:paraId="4A6BDB4A">
      <w:pPr>
        <w:pStyle w:val="42"/>
        <w:ind w:firstLine="480"/>
        <w:rPr>
          <w:rFonts w:hint="eastAsia"/>
          <w:color w:val="000000" w:themeColor="text1"/>
          <w:highlight w:val="none"/>
          <w:lang w:eastAsia="zh-CN"/>
          <w14:textFill>
            <w14:solidFill>
              <w14:schemeClr w14:val="tx1"/>
            </w14:solidFill>
          </w14:textFill>
        </w:rPr>
      </w:pPr>
    </w:p>
    <w:p w14:paraId="112E4858">
      <w:pPr>
        <w:pStyle w:val="39"/>
        <w:jc w:val="left"/>
        <w:rPr>
          <w:rFonts w:hint="eastAsia" w:ascii="仿宋" w:hAnsi="仿宋" w:eastAsia="仿宋"/>
          <w:b/>
          <w:bCs w:val="0"/>
          <w:color w:val="000000" w:themeColor="text1"/>
          <w:sz w:val="28"/>
          <w:szCs w:val="28"/>
          <w:highlight w:val="none"/>
          <w14:textFill>
            <w14:solidFill>
              <w14:schemeClr w14:val="tx1"/>
            </w14:solidFill>
          </w14:textFill>
        </w:rPr>
      </w:pPr>
      <w:r>
        <w:rPr>
          <w:rFonts w:hint="eastAsia" w:ascii="仿宋" w:hAnsi="仿宋" w:eastAsia="仿宋"/>
          <w:b/>
          <w:bCs w:val="0"/>
          <w:color w:val="000000" w:themeColor="text1"/>
          <w:sz w:val="28"/>
          <w:szCs w:val="28"/>
          <w:highlight w:val="none"/>
          <w14:textFill>
            <w14:solidFill>
              <w14:schemeClr w14:val="tx1"/>
            </w14:solidFill>
          </w14:textFill>
        </w:rPr>
        <w:t>平台具体要求</w:t>
      </w:r>
    </w:p>
    <w:p w14:paraId="379A2260">
      <w:pPr>
        <w:pStyle w:val="40"/>
        <w:rPr>
          <w:rFonts w:hint="eastAsia"/>
          <w:color w:val="000000" w:themeColor="text1"/>
          <w:sz w:val="28"/>
          <w:szCs w:val="28"/>
          <w:highlight w:val="none"/>
          <w14:textFill>
            <w14:solidFill>
              <w14:schemeClr w14:val="tx1"/>
            </w14:solidFill>
          </w14:textFill>
        </w:rPr>
      </w:pPr>
      <w:bookmarkStart w:id="7" w:name="_Toc212732913"/>
      <w:r>
        <w:rPr>
          <w:rFonts w:hint="eastAsia"/>
          <w:color w:val="000000" w:themeColor="text1"/>
          <w:sz w:val="28"/>
          <w:szCs w:val="28"/>
          <w:highlight w:val="none"/>
          <w14:textFill>
            <w14:solidFill>
              <w14:schemeClr w14:val="tx1"/>
            </w14:solidFill>
          </w14:textFill>
        </w:rPr>
        <w:t>智能创作平台</w:t>
      </w:r>
      <w:bookmarkEnd w:id="7"/>
    </w:p>
    <w:p w14:paraId="2F257E8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要求平台提供智能能力服务，搭建AI框架，为平台提供资源管理与调度、服务管理、任务管理、场景编排等服务。</w:t>
      </w:r>
    </w:p>
    <w:p w14:paraId="4C7345ED">
      <w:pPr>
        <w:pStyle w:val="42"/>
        <w:numPr>
          <w:ilvl w:val="0"/>
          <w:numId w:val="0"/>
        </w:numPr>
        <w:ind w:left="480" w:leftChars="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资源管理与调度</w:t>
      </w:r>
    </w:p>
    <w:p w14:paraId="7D4E62DF">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要求提供高效、灵活和弹性的资源管理和调度能力，支持对各类资源（如计算资源、存储资源等）的统一管理和调度，提高资源利用效率；</w:t>
      </w:r>
    </w:p>
    <w:p w14:paraId="4333F3AE">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要求支持对各类任务的智能化调度和管理，确保任务的高效执行和交付；</w:t>
      </w:r>
    </w:p>
    <w:p w14:paraId="3B183EFD">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要求支持服务弹性伸缩，自动调整和优化资源管理和调度的策略，确保在教学使用高峰期和低谷期都能实现资源的充分利用和高效调度；</w:t>
      </w:r>
    </w:p>
    <w:p w14:paraId="2C35558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敏捷的适应学院AIGC创作业务需要，保障服务一直在线，并且实现任务消费吞吐量最大化，对纳管的计算节点的CPU，内存及GPU资源池化，以及对AI原子能力全部进行资源用量度量，达成平台AI算力精细化管理的目标。（投标人需根据该项要求提供功能模块截图作为证明并在投标文件的截图处加盖投标人公章。）</w:t>
      </w:r>
    </w:p>
    <w:p w14:paraId="151E681F">
      <w:pPr>
        <w:pStyle w:val="42"/>
        <w:numPr>
          <w:ilvl w:val="0"/>
          <w:numId w:val="0"/>
        </w:numPr>
        <w:ind w:left="480" w:leftChars="0"/>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服务管理</w:t>
      </w:r>
    </w:p>
    <w:p w14:paraId="4A8D2575">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I框架要求实现维护任务依赖微服务的负载均衡与容灾，支持服务的自我修复，可自动重新启动失败的容器、替换容器、杀死不响应的容器。要求针对智能服务的执行情况，提供服务状态监控，辅助用户实时查看服务健康状态，提高运维效率；</w:t>
      </w:r>
    </w:p>
    <w:p w14:paraId="23E2DC30">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实现对学院使用的智能服务进行管理，要求智能服务通过部署后，在服务列表中能够显示相关信息，包括编号、原子能力名称、节点地址、服务状态、模型状态、运行模式、CPU核数、内存等信息；（投标人需根据该项要求提供功能模块截图作为证明并在投标文件的截图处加盖投标人公章。）</w:t>
      </w:r>
    </w:p>
    <w:p w14:paraId="5125D96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要求服务状态包括初始化、忙碌、空闲、服务异常，使用不同颜色的信号灯提示。</w:t>
      </w:r>
    </w:p>
    <w:p w14:paraId="34114411">
      <w:pPr>
        <w:pStyle w:val="42"/>
        <w:numPr>
          <w:ilvl w:val="0"/>
          <w:numId w:val="0"/>
        </w:numPr>
        <w:ind w:left="480" w:leftChars="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任务管理</w:t>
      </w:r>
    </w:p>
    <w:p w14:paraId="156D1440">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AI框架要求实现任务的统一接收、派发，通过调度相关的原子能力，启动任务的执行；</w:t>
      </w:r>
    </w:p>
    <w:p w14:paraId="14AE8716">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任务类型针对任务的执行情况，要求提供任务状态监控，辅助用户实时任务的真实状态，方便查看任务进度及任务失败情况下排查失败原因；</w:t>
      </w:r>
    </w:p>
    <w:p w14:paraId="06811470">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方便学院对任务进行管理，要求任务以列表形式提供相关信息，包括任务编号、开始时间、任务名称、任务类型、子任务、子任务状态、任务进度、任务状态等信息。（投标人需根据该项要求提供功能模块截图作为证明并在投标文件的截图处加盖投标人公章。）</w:t>
      </w:r>
    </w:p>
    <w:p w14:paraId="20F9BE11">
      <w:pPr>
        <w:pStyle w:val="42"/>
        <w:numPr>
          <w:ilvl w:val="0"/>
          <w:numId w:val="0"/>
        </w:numPr>
        <w:ind w:left="480" w:leftChars="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场景编排</w:t>
      </w:r>
    </w:p>
    <w:p w14:paraId="27FD608D">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要求提供智能场景模板的流程编排工具，界面简洁易用，组件可自由拖拽，用户可自行根据业务需求编排自己的场景模板；</w:t>
      </w:r>
    </w:p>
    <w:p w14:paraId="3E6DDAEA">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要求提供可视化的拖拽界面，用户可自行根据业务需求编排自己的场景模板，支持组件连线、合并、分支。（投标人需根据该项要求提供功能模块截图作为证明并在投标文件的截图处加盖投标人公章。）</w:t>
      </w:r>
    </w:p>
    <w:p w14:paraId="593388A7">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要求支持对发起的流程任务进行任务监管和详情查看，支持查看任务每个节点的详细执行情况及整体的进度、状态等信息；同时支持任务驱动的相关功能以及任务的删除操作。</w:t>
      </w:r>
    </w:p>
    <w:p w14:paraId="11471A78">
      <w:pPr>
        <w:pStyle w:val="42"/>
        <w:ind w:firstLine="480"/>
        <w:rPr>
          <w:rFonts w:hint="eastAsia"/>
          <w:color w:val="000000" w:themeColor="text1"/>
          <w:highlight w:val="none"/>
          <w14:textFill>
            <w14:solidFill>
              <w14:schemeClr w14:val="tx1"/>
            </w14:solidFill>
          </w14:textFill>
        </w:rPr>
      </w:pPr>
    </w:p>
    <w:p w14:paraId="290E6282">
      <w:pPr>
        <w:pStyle w:val="40"/>
        <w:rPr>
          <w:rFonts w:hint="eastAsia"/>
          <w:color w:val="000000" w:themeColor="text1"/>
          <w:sz w:val="28"/>
          <w:szCs w:val="28"/>
          <w:highlight w:val="none"/>
          <w14:textFill>
            <w14:solidFill>
              <w14:schemeClr w14:val="tx1"/>
            </w14:solidFill>
          </w14:textFill>
        </w:rPr>
      </w:pPr>
      <w:bookmarkStart w:id="8" w:name="_Toc212732909"/>
      <w:r>
        <w:rPr>
          <w:rFonts w:hint="eastAsia"/>
          <w:color w:val="000000" w:themeColor="text1"/>
          <w:sz w:val="28"/>
          <w:szCs w:val="28"/>
          <w:highlight w:val="none"/>
          <w14:textFill>
            <w14:solidFill>
              <w14:schemeClr w14:val="tx1"/>
            </w14:solidFill>
          </w14:textFill>
        </w:rPr>
        <w:t>应用服务软件</w:t>
      </w:r>
    </w:p>
    <w:p w14:paraId="3A02FD0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要求提供应用服务，包括系统的数据库服务，数据库包括但不限于关系型数据库、文档数据库、内存数据库、ES数据库等。自行搭建统一的算力与网络支撑环境。</w:t>
      </w:r>
    </w:p>
    <w:p w14:paraId="1165A03A">
      <w:pPr>
        <w:pStyle w:val="42"/>
        <w:ind w:firstLine="480"/>
        <w:rPr>
          <w:rFonts w:hint="eastAsia"/>
          <w:color w:val="000000" w:themeColor="text1"/>
          <w:highlight w:val="none"/>
          <w14:textFill>
            <w14:solidFill>
              <w14:schemeClr w14:val="tx1"/>
            </w14:solidFill>
          </w14:textFill>
        </w:rPr>
      </w:pPr>
    </w:p>
    <w:p w14:paraId="1FB0EC80">
      <w:pPr>
        <w:pStyle w:val="4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媒体处理服务软件</w:t>
      </w:r>
    </w:p>
    <w:p w14:paraId="616DBBDF">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要求提供媒体素材统一管理服务：</w:t>
      </w:r>
    </w:p>
    <w:p w14:paraId="49CD3DE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要求支持用户本地上传媒体内容在AIGC内容创作教学应用平台中进行管理。</w:t>
      </w:r>
    </w:p>
    <w:p w14:paraId="61CC328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要求支持类型筛选过滤查看</w:t>
      </w:r>
    </w:p>
    <w:p w14:paraId="71BBA262">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要求支持按照日期维度搜索上传内容。</w:t>
      </w:r>
    </w:p>
    <w:p w14:paraId="46518A07">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4</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要求支持上传内容直接预览及删除。</w:t>
      </w:r>
    </w:p>
    <w:bookmarkEnd w:id="8"/>
    <w:p w14:paraId="41291545">
      <w:pPr>
        <w:pStyle w:val="42"/>
        <w:ind w:firstLine="0" w:firstLineChars="0"/>
        <w:contextualSpacing/>
        <w:rPr>
          <w:rFonts w:ascii="Times New Roman" w:hAnsi="Times New Roman"/>
          <w:color w:val="000000" w:themeColor="text1"/>
          <w:szCs w:val="24"/>
          <w:highlight w:val="none"/>
          <w14:textFill>
            <w14:solidFill>
              <w14:schemeClr w14:val="tx1"/>
            </w14:solidFill>
          </w14:textFill>
        </w:rPr>
      </w:pPr>
      <w:bookmarkStart w:id="9" w:name="OLE_LINK9"/>
    </w:p>
    <w:bookmarkEnd w:id="9"/>
    <w:p w14:paraId="6021D307">
      <w:pPr>
        <w:pStyle w:val="40"/>
        <w:rPr>
          <w:rFonts w:hint="eastAsia"/>
          <w:color w:val="000000" w:themeColor="text1"/>
          <w:sz w:val="28"/>
          <w:szCs w:val="28"/>
          <w:highlight w:val="none"/>
          <w14:textFill>
            <w14:solidFill>
              <w14:schemeClr w14:val="tx1"/>
            </w14:solidFill>
          </w14:textFill>
        </w:rPr>
      </w:pPr>
      <w:bookmarkStart w:id="10" w:name="_Toc212732911"/>
      <w:r>
        <w:rPr>
          <w:rFonts w:hint="eastAsia"/>
          <w:color w:val="000000" w:themeColor="text1"/>
          <w:sz w:val="28"/>
          <w:szCs w:val="28"/>
          <w:highlight w:val="none"/>
          <w14:textFill>
            <w14:solidFill>
              <w14:schemeClr w14:val="tx1"/>
            </w14:solidFill>
          </w14:textFill>
        </w:rPr>
        <w:t>容器云服务平台</w:t>
      </w:r>
      <w:bookmarkEnd w:id="10"/>
    </w:p>
    <w:p w14:paraId="0CA9A10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系统整体核心引擎要求采用容器架构，采用Docker技术进行应用开发和部署，具有更高效的利用系统资源、更快速的启动时间、更轻松的迁移、更轻松的维护和扩展。</w:t>
      </w:r>
    </w:p>
    <w:p w14:paraId="6292D86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为便于后续平台的管理和监控，要求容器编排平台提供集群管理、节点管理、存储管理、网络管理、命名空间管理、虚拟机资源管理。</w:t>
      </w:r>
      <w:bookmarkStart w:id="11" w:name="OLE_LINK7"/>
      <w:r>
        <w:rPr>
          <w:rFonts w:hint="eastAsia"/>
          <w:color w:val="000000" w:themeColor="text1"/>
          <w:highlight w:val="none"/>
          <w14:textFill>
            <w14:solidFill>
              <w14:schemeClr w14:val="tx1"/>
            </w14:solidFill>
          </w14:textFill>
        </w:rPr>
        <w:t>（投标人需根据该项要求提供上述6个功能模块截图作为证明并在投标文件的截图处加盖投标人公章。）</w:t>
      </w:r>
      <w:bookmarkEnd w:id="11"/>
    </w:p>
    <w:p w14:paraId="3684482C">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要求容器编排平台支持异构资源管理，可兼容各类基础设施，支持物理机、虚拟化，兼容高速硬件和Windows虚拟机应用。</w:t>
      </w:r>
    </w:p>
    <w:p w14:paraId="0BD1A3A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要求容器编排平台具备节点管理功能，包括节点创建、节点查看、节点管理等能力。（投标人需根据该项要求提供可证明该功能的第三方专业机构出具的</w:t>
      </w:r>
      <w:r>
        <w:rPr>
          <w:rFonts w:hint="eastAsia"/>
          <w:color w:val="auto"/>
          <w:highlight w:val="none"/>
        </w:rPr>
        <w:t>软件产品登记测试报告复印件</w:t>
      </w:r>
      <w:r>
        <w:rPr>
          <w:rFonts w:hint="eastAsia"/>
          <w:color w:val="000000" w:themeColor="text1"/>
          <w:highlight w:val="none"/>
          <w14:textFill>
            <w14:solidFill>
              <w14:schemeClr w14:val="tx1"/>
            </w14:solidFill>
          </w14:textFill>
        </w:rPr>
        <w:t>并加盖投标人公章。）</w:t>
      </w:r>
    </w:p>
    <w:p w14:paraId="047F946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要求容器编排平台支持无状态工作负载创建、修改、删除、详情查看和编辑YAML。（投标人需根据该项要求提供可证明该功能的第三方专业机构出具的软件产品登记测试报告复印件并加盖投标人公章。）</w:t>
      </w:r>
    </w:p>
    <w:p w14:paraId="2D6C4A38">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支持对存储卷NFS及文件存储的支持。支持查看持久券（PVC）详情信息，可通过条件筛选PVC列表信息，通过特定条件检索PVC信息，在列表查看PVC的YAML信息，支持删除PVC、创建PVC时配置基础信息、路径、访问模式；存储卷模式支持NFS和文件存储。（投标人需根据该项要求提供可证明该功能的第三方专业机构出具的软件产品登记测试报告复印件并加盖投标人公章。）</w:t>
      </w:r>
    </w:p>
    <w:p w14:paraId="2E681F4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为方便对用户和用户组的管理，要求容器编排平台支持对用户和用户组进行创建、信息编辑、删除、查询等操作。</w:t>
      </w:r>
      <w:bookmarkStart w:id="12" w:name="OLE_LINK5"/>
      <w:r>
        <w:rPr>
          <w:rFonts w:hint="eastAsia"/>
          <w:color w:val="000000" w:themeColor="text1"/>
          <w:highlight w:val="none"/>
          <w14:textFill>
            <w14:solidFill>
              <w14:schemeClr w14:val="tx1"/>
            </w14:solidFill>
          </w14:textFill>
        </w:rPr>
        <w:t>（投标人需根据该项要求提供可证明该功能的第三方专业机构出具的软件产品登记测试报告复印件并加盖投标人公章。）</w:t>
      </w:r>
      <w:bookmarkEnd w:id="12"/>
    </w:p>
    <w:p w14:paraId="56A8BFEB">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要求容器编排平台提供模板市场功能，要求提供私有模板的统一管理，仅模板的创建者可使用，支持模板上传、下载、更新、删除、查询、安装。</w:t>
      </w:r>
    </w:p>
    <w:p w14:paraId="2A83D22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要求容器编排平台提供运维中心功能，支持日志文件生成、文件列表查询、下载、日志文件删除。</w:t>
      </w:r>
      <w:bookmarkStart w:id="13" w:name="_Toc212732912"/>
    </w:p>
    <w:p w14:paraId="2B76DC8B">
      <w:pPr>
        <w:pStyle w:val="42"/>
        <w:ind w:firstLine="480"/>
        <w:rPr>
          <w:rFonts w:hint="eastAsia"/>
          <w:color w:val="000000" w:themeColor="text1"/>
          <w:highlight w:val="none"/>
          <w14:textFill>
            <w14:solidFill>
              <w14:schemeClr w14:val="tx1"/>
            </w14:solidFill>
          </w14:textFill>
        </w:rPr>
      </w:pPr>
    </w:p>
    <w:p w14:paraId="1E224584">
      <w:pPr>
        <w:pStyle w:val="40"/>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媒体内容服务软件</w:t>
      </w:r>
    </w:p>
    <w:p w14:paraId="23D18B88">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工作流管理要求</w:t>
      </w:r>
    </w:p>
    <w:p w14:paraId="38E2AB2F">
      <w:pPr>
        <w:pStyle w:val="42"/>
        <w:numPr>
          <w:ilvl w:val="0"/>
          <w:numId w:val="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要求支持支持新建空白项目。</w:t>
      </w:r>
    </w:p>
    <w:p w14:paraId="6ACE0E8D">
      <w:pPr>
        <w:pStyle w:val="42"/>
        <w:numPr>
          <w:ilvl w:val="0"/>
          <w:numId w:val="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要求支持支持编辑、检索、详细信息、重命名、删除工程文件。</w:t>
      </w:r>
    </w:p>
    <w:p w14:paraId="7E112750">
      <w:pPr>
        <w:pStyle w:val="42"/>
        <w:numPr>
          <w:ilvl w:val="0"/>
          <w:numId w:val="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要求支持支持查看当前工程的使用情况。</w:t>
      </w:r>
    </w:p>
    <w:p w14:paraId="731E1E12">
      <w:pPr>
        <w:pStyle w:val="42"/>
        <w:ind w:firstLine="480"/>
        <w:rPr>
          <w:rFonts w:hint="eastAsia"/>
          <w:color w:val="000000" w:themeColor="text1"/>
          <w:highlight w:val="none"/>
          <w14:textFill>
            <w14:solidFill>
              <w14:schemeClr w14:val="tx1"/>
            </w14:solidFill>
          </w14:textFill>
        </w:rPr>
      </w:pPr>
    </w:p>
    <w:p w14:paraId="65749C09">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生成内容管理要求</w:t>
      </w:r>
    </w:p>
    <w:p w14:paraId="4592FD1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要求为学院师生提供高效的内容管理，特别对于需要进行大量AI内容生产制作的场景，要求实现AI生成内容的查询、管理等功能。具体要求如下：</w:t>
      </w:r>
    </w:p>
    <w:p w14:paraId="3303D31D">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w:t>
      </w:r>
      <w:r>
        <w:rPr>
          <w:rFonts w:hint="eastAsia"/>
          <w:color w:val="000000" w:themeColor="text1"/>
          <w:highlight w:val="none"/>
          <w14:textFill>
            <w14:solidFill>
              <w14:schemeClr w14:val="tx1"/>
            </w14:solidFill>
          </w14:textFill>
        </w:rPr>
        <w:t>支持显示当前项目中所有产生的内容至我的空间</w:t>
      </w:r>
    </w:p>
    <w:p w14:paraId="34C6DA20">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w:t>
      </w:r>
      <w:r>
        <w:rPr>
          <w:rFonts w:hint="eastAsia"/>
          <w:color w:val="000000" w:themeColor="text1"/>
          <w:highlight w:val="none"/>
          <w14:textFill>
            <w14:solidFill>
              <w14:schemeClr w14:val="tx1"/>
            </w14:solidFill>
          </w14:textFill>
        </w:rPr>
        <w:t>支持选择我的空间的内容进行分享成链接</w:t>
      </w:r>
    </w:p>
    <w:p w14:paraId="4BAAC841">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要求支持视音频，音频，文档，图片等其他类型的文件上载</w:t>
      </w:r>
    </w:p>
    <w:p w14:paraId="71D13C27">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要求支持显示当前生成内容详细包含：所属工作流、AI节点、参数输入等信息</w:t>
      </w:r>
    </w:p>
    <w:p w14:paraId="02FD9C82">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要求支持挑选生成结果到我的空间</w:t>
      </w:r>
    </w:p>
    <w:p w14:paraId="5669CFE9">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要求支持查看我的分享内容</w:t>
      </w:r>
    </w:p>
    <w:p w14:paraId="345A0FB0">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要求支持视音频，音频，文档，图片等其他类型的文件上载。</w:t>
      </w:r>
    </w:p>
    <w:p w14:paraId="7E18AEF2">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要求支持对平台内生成的图片、视频、音频统一管理。</w:t>
      </w:r>
    </w:p>
    <w:p w14:paraId="13FC7C38">
      <w:pPr>
        <w:pStyle w:val="42"/>
        <w:numPr>
          <w:ilvl w:val="0"/>
          <w:numId w:val="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要求支持内容分类管理。</w:t>
      </w:r>
    </w:p>
    <w:p w14:paraId="58361F06">
      <w:pPr>
        <w:pStyle w:val="42"/>
        <w:ind w:left="920" w:firstLine="0" w:firstLineChars="0"/>
        <w:contextualSpacing/>
        <w:rPr>
          <w:rFonts w:hint="eastAsia" w:ascii="仿宋" w:hAnsi="仿宋" w:eastAsia="仿宋"/>
          <w:color w:val="000000" w:themeColor="text1"/>
          <w:szCs w:val="24"/>
          <w:highlight w:val="none"/>
          <w14:textFill>
            <w14:solidFill>
              <w14:schemeClr w14:val="tx1"/>
            </w14:solidFill>
          </w14:textFill>
        </w:rPr>
      </w:pPr>
    </w:p>
    <w:p w14:paraId="2F51093D">
      <w:pPr>
        <w:pStyle w:val="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智能能力服务软件</w:t>
      </w:r>
    </w:p>
    <w:p w14:paraId="52DC3DC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要求使用原子能力仓库管理各个原子能力，支持以卡片形式展示AI框架丰富的智能能力。具体要求如下：</w:t>
      </w:r>
    </w:p>
    <w:p w14:paraId="6639F1B9">
      <w:pPr>
        <w:pStyle w:val="42"/>
        <w:numPr>
          <w:ilvl w:val="0"/>
          <w:numId w:val="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要求支持通过界面查看智能能力信息，可搜索、重置</w:t>
      </w:r>
    </w:p>
    <w:p w14:paraId="57FB3387">
      <w:pPr>
        <w:pStyle w:val="42"/>
        <w:numPr>
          <w:ilvl w:val="0"/>
          <w:numId w:val="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要求支持以卡片形式展示智能能力</w:t>
      </w:r>
    </w:p>
    <w:p w14:paraId="5AF49C68">
      <w:pPr>
        <w:pStyle w:val="42"/>
        <w:numPr>
          <w:ilvl w:val="0"/>
          <w:numId w:val="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要求支持通过卡片一键部署原子能力</w:t>
      </w:r>
    </w:p>
    <w:p w14:paraId="75211DDD">
      <w:pPr>
        <w:pStyle w:val="42"/>
        <w:numPr>
          <w:ilvl w:val="0"/>
          <w:numId w:val="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要求支持查看服务接口协议</w:t>
      </w:r>
    </w:p>
    <w:p w14:paraId="1283B08F">
      <w:pPr>
        <w:pStyle w:val="42"/>
        <w:numPr>
          <w:ilvl w:val="0"/>
          <w:numId w:val="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原子能力卡片信息要求包括卡片头图、能力简介、应用场景、运行环境、运行模式、所需资源等。（投标人需根据该项要求提供功能模块截图作为证明并在投标文件的截图处加盖投标人公章。）</w:t>
      </w:r>
    </w:p>
    <w:p w14:paraId="6119086F">
      <w:pPr>
        <w:pStyle w:val="42"/>
        <w:ind w:firstLine="480"/>
        <w:rPr>
          <w:rFonts w:hint="eastAsia"/>
          <w:color w:val="000000" w:themeColor="text1"/>
          <w:highlight w:val="none"/>
          <w14:textFill>
            <w14:solidFill>
              <w14:schemeClr w14:val="tx1"/>
            </w14:solidFill>
          </w14:textFill>
        </w:rPr>
      </w:pPr>
    </w:p>
    <w:p w14:paraId="186563CB">
      <w:pPr>
        <w:pStyle w:val="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智能能力服务-本地模型能力-图像生成能力：</w:t>
      </w:r>
    </w:p>
    <w:p w14:paraId="04B21195">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要求提供本地图像生成模型能力：</w:t>
      </w:r>
    </w:p>
    <w:p w14:paraId="3E592266">
      <w:pPr>
        <w:pStyle w:val="42"/>
        <w:numPr>
          <w:ilvl w:val="0"/>
          <w:numId w:val="6"/>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要求支持根据输入的描述性的文本生成高质量的图像</w:t>
      </w:r>
    </w:p>
    <w:p w14:paraId="7C896F67">
      <w:pPr>
        <w:pStyle w:val="42"/>
        <w:numPr>
          <w:ilvl w:val="0"/>
          <w:numId w:val="6"/>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要求支持快捷指定生成图像比例设置</w:t>
      </w:r>
    </w:p>
    <w:p w14:paraId="3F83C624">
      <w:pPr>
        <w:pStyle w:val="42"/>
        <w:numPr>
          <w:ilvl w:val="0"/>
          <w:numId w:val="6"/>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要求更多的节点history预览区用户可查询当前节点所产生的所有历史</w:t>
      </w:r>
    </w:p>
    <w:p w14:paraId="3D553981">
      <w:pPr>
        <w:pStyle w:val="42"/>
        <w:numPr>
          <w:ilvl w:val="0"/>
          <w:numId w:val="6"/>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要求同时并发不少于3路</w:t>
      </w:r>
    </w:p>
    <w:p w14:paraId="098BEF52">
      <w:pPr>
        <w:pStyle w:val="42"/>
        <w:ind w:firstLine="480"/>
        <w:rPr>
          <w:rFonts w:hint="eastAsia"/>
          <w:color w:val="000000" w:themeColor="text1"/>
          <w:highlight w:val="none"/>
          <w14:textFill>
            <w14:solidFill>
              <w14:schemeClr w14:val="tx1"/>
            </w14:solidFill>
          </w14:textFill>
        </w:rPr>
      </w:pPr>
    </w:p>
    <w:p w14:paraId="5868CE04">
      <w:pPr>
        <w:pStyle w:val="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智能能力服务-本地模型能力-文生视频</w:t>
      </w:r>
    </w:p>
    <w:p w14:paraId="47B4564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要求提供本地文生视频模型能力：</w:t>
      </w:r>
    </w:p>
    <w:p w14:paraId="6C5DDD8B">
      <w:pPr>
        <w:pStyle w:val="42"/>
        <w:numPr>
          <w:ilvl w:val="0"/>
          <w:numId w:val="7"/>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要求支持输入文字描述生成视频</w:t>
      </w:r>
    </w:p>
    <w:p w14:paraId="680906D8">
      <w:pPr>
        <w:pStyle w:val="42"/>
        <w:numPr>
          <w:ilvl w:val="0"/>
          <w:numId w:val="7"/>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要求支持视频生成时长设置不低于5s</w:t>
      </w:r>
    </w:p>
    <w:p w14:paraId="3D58754B">
      <w:pPr>
        <w:pStyle w:val="42"/>
        <w:numPr>
          <w:ilvl w:val="0"/>
          <w:numId w:val="7"/>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要求同时并发不少于3路，单路一次可生成1段视频</w:t>
      </w:r>
    </w:p>
    <w:p w14:paraId="05989C83">
      <w:pPr>
        <w:pStyle w:val="42"/>
        <w:ind w:firstLine="480"/>
        <w:rPr>
          <w:rFonts w:hint="eastAsia"/>
          <w:color w:val="000000" w:themeColor="text1"/>
          <w:highlight w:val="none"/>
          <w14:textFill>
            <w14:solidFill>
              <w14:schemeClr w14:val="tx1"/>
            </w14:solidFill>
          </w14:textFill>
        </w:rPr>
      </w:pPr>
    </w:p>
    <w:p w14:paraId="4AB8EE09">
      <w:pPr>
        <w:pStyle w:val="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AIGC创作服务软件：</w:t>
      </w:r>
    </w:p>
    <w:p w14:paraId="33909BB3">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工作流编排能力要求</w:t>
      </w:r>
    </w:p>
    <w:p w14:paraId="4DB1DFFE">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AIGC内容创作教学应用平台工作流编排要求通过节点式编排方式，将不同的能力节点进行连接，最终编辑成不同场景的工作流。</w:t>
      </w:r>
    </w:p>
    <w:p w14:paraId="3BEAF56E">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IGC内容创作教学应用平台工作流编排是使用者主要进行操作的模块，为使用者提供AI能力全面并且操作简易的节点式编辑应用平台，要求能够快速地创建工作流、组合AI能力高效产出，降低跨平台带来的使用门槛和时间损耗。</w:t>
      </w:r>
    </w:p>
    <w:p w14:paraId="3FD654DA">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具体要求如下：</w:t>
      </w:r>
    </w:p>
    <w:p w14:paraId="1C820B82">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要求提供节点式编辑工作流，灵活可控、高效易用，一站式AI内容生产替代跨平台导致的复杂流程。</w:t>
      </w:r>
    </w:p>
    <w:p w14:paraId="44004BAC">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要求提供多源AI能力，涵盖本地的能力、三方能力（如可灵、即梦，豆包等），以及</w:t>
      </w:r>
      <w:r>
        <w:rPr>
          <w:color w:val="000000" w:themeColor="text1"/>
          <w:szCs w:val="24"/>
          <w:highlight w:val="none"/>
          <w14:textFill>
            <w14:solidFill>
              <w14:schemeClr w14:val="tx1"/>
            </w14:solidFill>
          </w14:textFill>
        </w:rPr>
        <w:t>Comfy UI</w:t>
      </w:r>
      <w:r>
        <w:rPr>
          <w:rFonts w:hint="eastAsia"/>
          <w:color w:val="000000" w:themeColor="text1"/>
          <w:szCs w:val="24"/>
          <w:highlight w:val="none"/>
          <w14:textFill>
            <w14:solidFill>
              <w14:schemeClr w14:val="tx1"/>
            </w14:solidFill>
          </w14:textFill>
        </w:rPr>
        <w:t>构建的能力，要求未来支持接入更多优秀的各类三方能力。</w:t>
      </w:r>
    </w:p>
    <w:p w14:paraId="5A63F055">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要求具备全面的内容生成能力。要求基于多源能力的接入，能够产出学院所需要的各类AI内容，包括平面设计、艺术创作、视音频创作等内容，支持随着技术迭代，不断创新。</w:t>
      </w:r>
    </w:p>
    <w:p w14:paraId="4707C778">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要求支持展示AIGC内容创作教学应用平台集成的所有AI能力。</w:t>
      </w:r>
    </w:p>
    <w:p w14:paraId="107C113A">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要求支持使用多</w:t>
      </w:r>
      <w:bookmarkStart w:id="14" w:name="OLE_LINK10"/>
      <w:r>
        <w:rPr>
          <w:rFonts w:hint="eastAsia"/>
          <w:color w:val="000000" w:themeColor="text1"/>
          <w:szCs w:val="24"/>
          <w:highlight w:val="none"/>
          <w14:textFill>
            <w14:solidFill>
              <w14:schemeClr w14:val="tx1"/>
            </w14:solidFill>
          </w14:textFill>
        </w:rPr>
        <w:t>个节点进行流水线编排</w:t>
      </w:r>
      <w:bookmarkEnd w:id="14"/>
      <w:r>
        <w:rPr>
          <w:rFonts w:hint="eastAsia"/>
          <w:color w:val="000000" w:themeColor="text1"/>
          <w:szCs w:val="24"/>
          <w:highlight w:val="none"/>
          <w14:textFill>
            <w14:solidFill>
              <w14:schemeClr w14:val="tx1"/>
            </w14:solidFill>
          </w14:textFill>
        </w:rPr>
        <w:t>任务，操作过程中通过将节点与节点的入出连接点进行连接，做到节点间的数据传递</w:t>
      </w:r>
      <w:bookmarkStart w:id="15" w:name="OLE_LINK12"/>
      <w:r>
        <w:rPr>
          <w:rFonts w:hint="eastAsia"/>
          <w:color w:val="000000" w:themeColor="text1"/>
          <w:szCs w:val="24"/>
          <w:highlight w:val="none"/>
          <w14:textFill>
            <w14:solidFill>
              <w14:schemeClr w14:val="tx1"/>
            </w14:solidFill>
          </w14:textFill>
        </w:rPr>
        <w:t>（要求投标人所投产品对该功能进行</w:t>
      </w:r>
      <w:r>
        <w:rPr>
          <w:rFonts w:hint="eastAsia"/>
          <w:color w:val="000000" w:themeColor="text1"/>
          <w:szCs w:val="24"/>
          <w:highlight w:val="none"/>
          <w:lang w:val="en-US" w:eastAsia="zh-CN"/>
          <w14:textFill>
            <w14:solidFill>
              <w14:schemeClr w14:val="tx1"/>
            </w14:solidFill>
          </w14:textFill>
        </w:rPr>
        <w:t>视频</w:t>
      </w:r>
      <w:r>
        <w:rPr>
          <w:rFonts w:hint="eastAsia"/>
          <w:color w:val="000000" w:themeColor="text1"/>
          <w:szCs w:val="24"/>
          <w:highlight w:val="none"/>
          <w14:textFill>
            <w14:solidFill>
              <w14:schemeClr w14:val="tx1"/>
            </w14:solidFill>
          </w14:textFill>
        </w:rPr>
        <w:t>演示）</w:t>
      </w:r>
      <w:bookmarkEnd w:id="15"/>
      <w:r>
        <w:rPr>
          <w:rFonts w:hint="eastAsia"/>
          <w:color w:val="000000" w:themeColor="text1"/>
          <w:szCs w:val="24"/>
          <w:highlight w:val="none"/>
          <w14:textFill>
            <w14:solidFill>
              <w14:schemeClr w14:val="tx1"/>
            </w14:solidFill>
          </w14:textFill>
        </w:rPr>
        <w:t>。</w:t>
      </w:r>
    </w:p>
    <w:p w14:paraId="02AD8E41">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要求为每个AI能力提供专属参数区，AIGC内容创作教学应用平台支持根据不同的AI能力显示不同的参数，单击已拖拽到画布上的节点即可弹出该节点对应参数区，并对AI能力进行参数调整</w:t>
      </w:r>
      <w:bookmarkStart w:id="16" w:name="OLE_LINK13"/>
      <w:r>
        <w:rPr>
          <w:rFonts w:hint="eastAsia"/>
          <w:color w:val="000000" w:themeColor="text1"/>
          <w:szCs w:val="24"/>
          <w:highlight w:val="none"/>
          <w14:textFill>
            <w14:solidFill>
              <w14:schemeClr w14:val="tx1"/>
            </w14:solidFill>
          </w14:textFill>
        </w:rPr>
        <w:t>（要求投标人所投产品对该功能进行</w:t>
      </w:r>
      <w:r>
        <w:rPr>
          <w:rFonts w:hint="eastAsia"/>
          <w:color w:val="000000" w:themeColor="text1"/>
          <w:szCs w:val="24"/>
          <w:highlight w:val="none"/>
          <w:lang w:val="en-US" w:eastAsia="zh-CN"/>
          <w14:textFill>
            <w14:solidFill>
              <w14:schemeClr w14:val="tx1"/>
            </w14:solidFill>
          </w14:textFill>
        </w:rPr>
        <w:t>视频</w:t>
      </w:r>
      <w:r>
        <w:rPr>
          <w:rFonts w:hint="eastAsia"/>
          <w:color w:val="000000" w:themeColor="text1"/>
          <w:szCs w:val="24"/>
          <w:highlight w:val="none"/>
          <w14:textFill>
            <w14:solidFill>
              <w14:schemeClr w14:val="tx1"/>
            </w14:solidFill>
          </w14:textFill>
        </w:rPr>
        <w:t>演示）。</w:t>
      </w:r>
      <w:bookmarkEnd w:id="16"/>
    </w:p>
    <w:p w14:paraId="5736FF38">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节点资源区：</w:t>
      </w:r>
    </w:p>
    <w:p w14:paraId="73E9FC9B">
      <w:pPr>
        <w:pStyle w:val="42"/>
        <w:numPr>
          <w:ilvl w:val="0"/>
          <w:numId w:val="8"/>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在AIGC内容创作教学应用平台工作流编排区域左侧显示节点资源区，分别为：基础能力节点（输入输出节点）、AI能力节点（AI节点）、以及专业工具节点。在输入输出节点中支持图像输入、视频输入、音频输入、文本输入组。图像输入、视频输入、音频输入组件可通过上传本地对应类型文件或选择内容库已上传的文件进行上传做为输入内容。</w:t>
      </w:r>
    </w:p>
    <w:p w14:paraId="728CC16A">
      <w:pPr>
        <w:pStyle w:val="42"/>
        <w:numPr>
          <w:ilvl w:val="0"/>
          <w:numId w:val="8"/>
        </w:numPr>
        <w:ind w:left="425" w:leftChars="0" w:hanging="425" w:firstLineChars="0"/>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工作流编排操作区：</w:t>
      </w:r>
    </w:p>
    <w:p w14:paraId="1CE4EA22">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a.要求在AIGC内容创作教学应用平台工作流编排画布中，可以将左侧的能力节点拖拽至画布中做为能力节点。并通过节点能力的不同进行串接</w:t>
      </w:r>
      <w:r>
        <w:rPr>
          <w:rFonts w:hint="eastAsia"/>
          <w:color w:val="000000" w:themeColor="text1"/>
          <w:szCs w:val="24"/>
          <w:highlight w:val="none"/>
          <w14:textFill>
            <w14:solidFill>
              <w14:schemeClr w14:val="tx1"/>
            </w14:solidFill>
          </w14:textFill>
        </w:rPr>
        <w:t>（要求投标人所投产品对该功能进行</w:t>
      </w:r>
      <w:r>
        <w:rPr>
          <w:rFonts w:hint="eastAsia"/>
          <w:color w:val="000000" w:themeColor="text1"/>
          <w:szCs w:val="24"/>
          <w:highlight w:val="none"/>
          <w:lang w:val="en-US" w:eastAsia="zh-CN"/>
          <w14:textFill>
            <w14:solidFill>
              <w14:schemeClr w14:val="tx1"/>
            </w14:solidFill>
          </w14:textFill>
        </w:rPr>
        <w:t>视频</w:t>
      </w:r>
      <w:r>
        <w:rPr>
          <w:rFonts w:hint="eastAsia"/>
          <w:color w:val="000000" w:themeColor="text1"/>
          <w:szCs w:val="24"/>
          <w:highlight w:val="none"/>
          <w14:textFill>
            <w14:solidFill>
              <w14:schemeClr w14:val="tx1"/>
            </w14:solidFill>
          </w14:textFill>
        </w:rPr>
        <w:t>演示）。</w:t>
      </w:r>
    </w:p>
    <w:p w14:paraId="14F6E01D">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b. 要求节点的输出项与下一个节点的输出项匹配，便可进行节点间的数据传输。将上一节点的输出内容做为下一个节点的输入内容。</w:t>
      </w:r>
    </w:p>
    <w:p w14:paraId="5E00702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c. 要求支持右键对节点进行删除操作。</w:t>
      </w:r>
    </w:p>
    <w:p w14:paraId="51DA99A6">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d. 要求支持对节点间的连接线进行删除操作。</w:t>
      </w:r>
    </w:p>
    <w:p w14:paraId="4A455237">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e. 要求支持快捷键对画布显示进行放大、缩小操作。</w:t>
      </w:r>
    </w:p>
    <w:p w14:paraId="606FEACF">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f. 要求支持画布操作按钮：放大、缩小、1:1显示或缩放至屏幕操作。</w:t>
      </w:r>
    </w:p>
    <w:p w14:paraId="408FF77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g. 要求支持在节点编辑界面中对当前工作流进行重命名操作.</w:t>
      </w:r>
    </w:p>
    <w:p w14:paraId="6E1487A2">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h. 要求支持在画布中双击节点打开节点详细参数区进行节点参数设置操作。</w:t>
      </w:r>
    </w:p>
    <w:p w14:paraId="24A44D0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i. 要求支持隐藏/显示左侧节点菜单栏以获取更多的工作流画布区域。</w:t>
      </w:r>
    </w:p>
    <w:p w14:paraId="688B4DCD">
      <w:pPr>
        <w:pStyle w:val="42"/>
        <w:ind w:firstLine="480"/>
        <w:rPr>
          <w:rFonts w:hint="eastAsia"/>
          <w:color w:val="000000" w:themeColor="text1"/>
          <w:highlight w:val="none"/>
          <w14:textFill>
            <w14:solidFill>
              <w14:schemeClr w14:val="tx1"/>
            </w14:solidFill>
          </w14:textFill>
        </w:rPr>
      </w:pPr>
    </w:p>
    <w:p w14:paraId="4E2C1D6C">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任务管理服务要求</w:t>
      </w:r>
    </w:p>
    <w:p w14:paraId="0D719932">
      <w:pPr>
        <w:pStyle w:val="42"/>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要求显示任务相关信息：编号、接收时间、开始时间、结束时间、子任务、子任务状态等</w:t>
      </w:r>
      <w:r>
        <w:rPr>
          <w:rFonts w:hint="eastAsia"/>
          <w:color w:val="000000" w:themeColor="text1"/>
          <w:highlight w:val="none"/>
          <w:lang w:eastAsia="zh-CN"/>
          <w14:textFill>
            <w14:solidFill>
              <w14:schemeClr w14:val="tx1"/>
            </w14:solidFill>
          </w14:textFill>
        </w:rPr>
        <w:t>。</w:t>
      </w:r>
    </w:p>
    <w:p w14:paraId="07F2ECBC">
      <w:pPr>
        <w:pStyle w:val="42"/>
        <w:ind w:firstLine="480"/>
        <w:rPr>
          <w:rFonts w:hint="eastAsia"/>
          <w:color w:val="000000" w:themeColor="text1"/>
          <w:highlight w:val="none"/>
          <w:lang w:eastAsia="zh-CN"/>
          <w14:textFill>
            <w14:solidFill>
              <w14:schemeClr w14:val="tx1"/>
            </w14:solidFill>
          </w14:textFill>
        </w:rPr>
      </w:pPr>
    </w:p>
    <w:p w14:paraId="5A0EC849">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支持第三方能力接入要求</w:t>
      </w:r>
    </w:p>
    <w:p w14:paraId="0426906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要求支持第三方能力通过API方式接入。</w:t>
      </w:r>
    </w:p>
    <w:p w14:paraId="567EB13C">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要求平台支持接入第三方能力（如可灵、即梦、豆包等），支持调用第三方能力进行图像、音乐、配音等内容的生成。</w:t>
      </w:r>
    </w:p>
    <w:p w14:paraId="55622143">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具体要求如下：</w:t>
      </w:r>
    </w:p>
    <w:p w14:paraId="30A2F8B5">
      <w:pPr>
        <w:pStyle w:val="42"/>
        <w:numPr>
          <w:ilvl w:val="0"/>
          <w:numId w:val="9"/>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要求支持根据输入的描述性的文本生成高质量的图像。</w:t>
      </w:r>
    </w:p>
    <w:p w14:paraId="772C0AC5">
      <w:pPr>
        <w:pStyle w:val="42"/>
        <w:numPr>
          <w:ilvl w:val="0"/>
          <w:numId w:val="9"/>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要求支持声音文本信息上传。</w:t>
      </w:r>
    </w:p>
    <w:p w14:paraId="6FA631A8">
      <w:pPr>
        <w:pStyle w:val="42"/>
        <w:numPr>
          <w:ilvl w:val="0"/>
          <w:numId w:val="9"/>
        </w:numPr>
        <w:ind w:left="425" w:leftChars="0" w:hanging="425" w:firstLineChars="0"/>
        <w:rPr>
          <w:rFonts w:hint="eastAsia"/>
          <w:color w:val="000000" w:themeColor="text1"/>
          <w:highlight w:val="none"/>
          <w14:textFill>
            <w14:solidFill>
              <w14:schemeClr w14:val="tx1"/>
            </w14:solidFill>
          </w14:textFill>
        </w:rPr>
      </w:pPr>
      <w:bookmarkStart w:id="17" w:name="OLE_LINK15"/>
      <w:r>
        <w:rPr>
          <w:rFonts w:hint="eastAsia"/>
          <w:color w:val="000000" w:themeColor="text1"/>
          <w:highlight w:val="none"/>
          <w14:textFill>
            <w14:solidFill>
              <w14:schemeClr w14:val="tx1"/>
            </w14:solidFill>
          </w14:textFill>
        </w:rPr>
        <w:t>要求支持输入音乐描述，支持输入歌词或描述一首歌曲。</w:t>
      </w:r>
      <w:bookmarkEnd w:id="17"/>
    </w:p>
    <w:p w14:paraId="55CBF13E">
      <w:pPr>
        <w:pStyle w:val="42"/>
        <w:ind w:firstLine="199" w:firstLineChars="83"/>
        <w:rPr>
          <w:rFonts w:hint="eastAsia" w:ascii="仿宋" w:hAnsi="仿宋" w:eastAsia="仿宋"/>
          <w:color w:val="000000" w:themeColor="text1"/>
          <w:highlight w:val="none"/>
          <w14:textFill>
            <w14:solidFill>
              <w14:schemeClr w14:val="tx1"/>
            </w14:solidFill>
          </w14:textFill>
        </w:rPr>
      </w:pPr>
    </w:p>
    <w:p w14:paraId="0BF2B111">
      <w:pPr>
        <w:pStyle w:val="4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ComfyUI要求</w:t>
      </w:r>
    </w:p>
    <w:p w14:paraId="787F8EF9">
      <w:pPr>
        <w:pStyle w:val="42"/>
        <w:ind w:firstLine="48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为方便学院师生进行个性化创作，要求提供基于ComfyUI的低代码构建AI能力流程，个性化构建AI能力节点。</w:t>
      </w:r>
    </w:p>
    <w:p w14:paraId="509CD054">
      <w:pPr>
        <w:pStyle w:val="42"/>
        <w:ind w:firstLine="48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具体要求如下：</w:t>
      </w:r>
    </w:p>
    <w:p w14:paraId="2AF119AF">
      <w:pPr>
        <w:pStyle w:val="42"/>
        <w:numPr>
          <w:ilvl w:val="0"/>
          <w:numId w:val="10"/>
        </w:numPr>
        <w:ind w:left="425" w:leftChars="0" w:hanging="425" w:firstLineChars="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要求基于</w:t>
      </w:r>
      <w:bookmarkStart w:id="18" w:name="OLE_LINK16"/>
      <w:r>
        <w:rPr>
          <w:rStyle w:val="48"/>
          <w:rFonts w:hint="eastAsia"/>
          <w:color w:val="000000" w:themeColor="text1"/>
          <w:highlight w:val="none"/>
          <w14:textFill>
            <w14:solidFill>
              <w14:schemeClr w14:val="tx1"/>
            </w14:solidFill>
          </w14:textFill>
        </w:rPr>
        <w:t>Comfy UI</w:t>
      </w:r>
      <w:bookmarkEnd w:id="18"/>
      <w:r>
        <w:rPr>
          <w:rStyle w:val="48"/>
          <w:rFonts w:hint="eastAsia"/>
          <w:color w:val="000000" w:themeColor="text1"/>
          <w:highlight w:val="none"/>
          <w14:textFill>
            <w14:solidFill>
              <w14:schemeClr w14:val="tx1"/>
            </w14:solidFill>
          </w14:textFill>
        </w:rPr>
        <w:t>工作流创建能力节点，个性化能力自主生产。</w:t>
      </w:r>
    </w:p>
    <w:p w14:paraId="7E730904">
      <w:pPr>
        <w:pStyle w:val="42"/>
        <w:numPr>
          <w:ilvl w:val="0"/>
          <w:numId w:val="10"/>
        </w:numPr>
        <w:ind w:left="425" w:leftChars="0" w:hanging="425" w:firstLineChars="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要求支持自动化环境构建，解决门槛问题。</w:t>
      </w:r>
    </w:p>
    <w:p w14:paraId="1E2DD25F">
      <w:pPr>
        <w:pStyle w:val="42"/>
        <w:numPr>
          <w:ilvl w:val="0"/>
          <w:numId w:val="10"/>
        </w:numPr>
        <w:ind w:left="425" w:leftChars="0" w:hanging="425" w:firstLineChars="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要求参数可控简化，能力化繁为简，整体构建流程完整，快捷高效。</w:t>
      </w:r>
    </w:p>
    <w:p w14:paraId="5EEC39FC">
      <w:pPr>
        <w:pStyle w:val="42"/>
        <w:numPr>
          <w:ilvl w:val="0"/>
          <w:numId w:val="10"/>
        </w:numPr>
        <w:ind w:left="425" w:leftChars="0" w:hanging="425" w:firstLineChars="0"/>
        <w:rPr>
          <w:rStyle w:val="48"/>
          <w:rFonts w:hint="eastAsia"/>
          <w:color w:val="000000" w:themeColor="text1"/>
          <w:highlight w:val="none"/>
          <w14:textFill>
            <w14:solidFill>
              <w14:schemeClr w14:val="tx1"/>
            </w14:solidFill>
          </w14:textFill>
        </w:rPr>
      </w:pPr>
      <w:r>
        <w:rPr>
          <w:rStyle w:val="48"/>
          <w:rFonts w:hint="eastAsia"/>
          <w:color w:val="000000" w:themeColor="text1"/>
          <w:highlight w:val="none"/>
          <w14:textFill>
            <w14:solidFill>
              <w14:schemeClr w14:val="tx1"/>
            </w14:solidFill>
          </w14:textFill>
        </w:rPr>
        <w:t>要求AIGC内容创作教学应用平台中支持对AI能力流程进行调试，调试流程与Comfy UI相同</w:t>
      </w:r>
      <w:r>
        <w:rPr>
          <w:rFonts w:hint="eastAsia"/>
          <w:color w:val="000000" w:themeColor="text1"/>
          <w:szCs w:val="24"/>
          <w:highlight w:val="none"/>
          <w14:textFill>
            <w14:solidFill>
              <w14:schemeClr w14:val="tx1"/>
            </w14:solidFill>
          </w14:textFill>
        </w:rPr>
        <w:t>（要求投标人所投产品对该功能进行</w:t>
      </w:r>
      <w:r>
        <w:rPr>
          <w:rFonts w:hint="eastAsia"/>
          <w:color w:val="000000" w:themeColor="text1"/>
          <w:szCs w:val="24"/>
          <w:highlight w:val="none"/>
          <w:lang w:val="en-US" w:eastAsia="zh-CN"/>
          <w14:textFill>
            <w14:solidFill>
              <w14:schemeClr w14:val="tx1"/>
            </w14:solidFill>
          </w14:textFill>
        </w:rPr>
        <w:t>视频</w:t>
      </w:r>
      <w:r>
        <w:rPr>
          <w:rFonts w:hint="eastAsia"/>
          <w:color w:val="000000" w:themeColor="text1"/>
          <w:szCs w:val="24"/>
          <w:highlight w:val="none"/>
          <w14:textFill>
            <w14:solidFill>
              <w14:schemeClr w14:val="tx1"/>
            </w14:solidFill>
          </w14:textFill>
        </w:rPr>
        <w:t>演示）。</w:t>
      </w:r>
    </w:p>
    <w:p w14:paraId="27797095">
      <w:pPr>
        <w:pStyle w:val="42"/>
        <w:ind w:firstLine="0" w:firstLineChars="0"/>
        <w:rPr>
          <w:rFonts w:hint="eastAsia"/>
          <w:color w:val="000000" w:themeColor="text1"/>
          <w:highlight w:val="none"/>
          <w14:textFill>
            <w14:solidFill>
              <w14:schemeClr w14:val="tx1"/>
            </w14:solidFill>
          </w14:textFill>
        </w:rPr>
      </w:pPr>
    </w:p>
    <w:p w14:paraId="78E0DD84">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第三方生成工具服务-视频生成</w:t>
      </w:r>
      <w:r>
        <w:rPr>
          <w:rFonts w:ascii="Times New Roman" w:hAnsi="Times New Roman" w:eastAsia="宋体"/>
          <w:b/>
          <w:bCs/>
          <w:color w:val="000000" w:themeColor="text1"/>
          <w:sz w:val="24"/>
          <w:szCs w:val="24"/>
          <w:highlight w:val="none"/>
          <w14:textFill>
            <w14:solidFill>
              <w14:schemeClr w14:val="tx1"/>
            </w14:solidFill>
          </w14:textFill>
        </w:rPr>
        <w:t>能力</w:t>
      </w:r>
      <w:r>
        <w:rPr>
          <w:rFonts w:hint="eastAsia" w:ascii="Times New Roman" w:hAnsi="Times New Roman" w:eastAsia="宋体"/>
          <w:b/>
          <w:bCs/>
          <w:color w:val="000000" w:themeColor="text1"/>
          <w:sz w:val="24"/>
          <w:szCs w:val="24"/>
          <w:highlight w:val="none"/>
          <w14:textFill>
            <w14:solidFill>
              <w14:schemeClr w14:val="tx1"/>
            </w14:solidFill>
          </w14:textFill>
        </w:rPr>
        <w:t>要求</w:t>
      </w:r>
    </w:p>
    <w:p w14:paraId="659F058A">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要求提供视频生成API服务，支持接入AIGC内容创作教学应用平台，每年包含不少于6千次视频生成服务。具体要求如下：</w:t>
      </w:r>
    </w:p>
    <w:p w14:paraId="20A47140">
      <w:pPr>
        <w:pStyle w:val="42"/>
        <w:numPr>
          <w:ilvl w:val="0"/>
          <w:numId w:val="11"/>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要求支持文生视频、图生视频、首尾帧等多个能力；</w:t>
      </w:r>
    </w:p>
    <w:p w14:paraId="5F99703A">
      <w:pPr>
        <w:pStyle w:val="42"/>
        <w:numPr>
          <w:ilvl w:val="0"/>
          <w:numId w:val="11"/>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要求支持根据用户表达进行提示词扩写，生成符合预期的视频；</w:t>
      </w:r>
    </w:p>
    <w:p w14:paraId="1C7341F5">
      <w:pPr>
        <w:pStyle w:val="42"/>
        <w:numPr>
          <w:ilvl w:val="0"/>
          <w:numId w:val="11"/>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要求支持16：9、9：16、1：1的画幅比例；</w:t>
      </w:r>
    </w:p>
    <w:p w14:paraId="0CB6022A">
      <w:pPr>
        <w:pStyle w:val="42"/>
        <w:numPr>
          <w:ilvl w:val="0"/>
          <w:numId w:val="11"/>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要求支持生成时长、视频比例、生成数量的设置。</w:t>
      </w:r>
    </w:p>
    <w:p w14:paraId="151B706E">
      <w:pPr>
        <w:pStyle w:val="42"/>
        <w:numPr>
          <w:ilvl w:val="0"/>
          <w:numId w:val="0"/>
        </w:numPr>
        <w:ind w:leftChars="0"/>
        <w:rPr>
          <w:rFonts w:hint="eastAsia"/>
          <w:color w:val="000000" w:themeColor="text1"/>
          <w:highlight w:val="none"/>
          <w14:textFill>
            <w14:solidFill>
              <w14:schemeClr w14:val="tx1"/>
            </w14:solidFill>
          </w14:textFill>
        </w:rPr>
      </w:pPr>
    </w:p>
    <w:p w14:paraId="3D7DB48A">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第三方生成工具服务-图像生成</w:t>
      </w:r>
      <w:r>
        <w:rPr>
          <w:rFonts w:ascii="Times New Roman" w:hAnsi="Times New Roman" w:eastAsia="宋体"/>
          <w:b/>
          <w:bCs/>
          <w:color w:val="000000" w:themeColor="text1"/>
          <w:sz w:val="24"/>
          <w:szCs w:val="24"/>
          <w:highlight w:val="none"/>
          <w14:textFill>
            <w14:solidFill>
              <w14:schemeClr w14:val="tx1"/>
            </w14:solidFill>
          </w14:textFill>
        </w:rPr>
        <w:t>能力</w:t>
      </w:r>
      <w:r>
        <w:rPr>
          <w:rFonts w:hint="eastAsia" w:ascii="Times New Roman" w:hAnsi="Times New Roman" w:eastAsia="宋体"/>
          <w:b/>
          <w:bCs/>
          <w:color w:val="000000" w:themeColor="text1"/>
          <w:sz w:val="24"/>
          <w:szCs w:val="24"/>
          <w:highlight w:val="none"/>
          <w14:textFill>
            <w14:solidFill>
              <w14:schemeClr w14:val="tx1"/>
            </w14:solidFill>
          </w14:textFill>
        </w:rPr>
        <w:t>要求</w:t>
      </w:r>
    </w:p>
    <w:p w14:paraId="1A83DD37">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要求提供图像生成API服务，支持接入AIGC内容创作教学应用平台，每年包含不少于5万张图像生成次数。具体要求如下：</w:t>
      </w:r>
    </w:p>
    <w:p w14:paraId="4FCA3A9B">
      <w:pPr>
        <w:pStyle w:val="42"/>
        <w:numPr>
          <w:ilvl w:val="0"/>
          <w:numId w:val="12"/>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要求支持艺术风格设置，确定画面整体基调，如写实风、插画风，或更具体的风格，如中国水墨风等；</w:t>
      </w:r>
    </w:p>
    <w:p w14:paraId="1C372BEB">
      <w:pPr>
        <w:pStyle w:val="42"/>
        <w:numPr>
          <w:ilvl w:val="0"/>
          <w:numId w:val="12"/>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要求支持画面主体描述，聚焦主画面内容，例如描述海报中的人物正在做某件事，或具体的物品形态与状态等；</w:t>
      </w:r>
    </w:p>
    <w:p w14:paraId="0B9CA786">
      <w:pPr>
        <w:pStyle w:val="42"/>
        <w:numPr>
          <w:ilvl w:val="0"/>
          <w:numId w:val="12"/>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要求支持文字排版描述，将文字内容放在双引号“”内，同时通过指令描述文字的位置、大小、颜色和风格，精准调整排版效果。</w:t>
      </w:r>
    </w:p>
    <w:p w14:paraId="27CD6F5E">
      <w:pPr>
        <w:pStyle w:val="42"/>
        <w:numPr>
          <w:ilvl w:val="0"/>
          <w:numId w:val="0"/>
        </w:numPr>
        <w:ind w:leftChars="0"/>
        <w:rPr>
          <w:rFonts w:hint="eastAsia"/>
          <w:color w:val="000000" w:themeColor="text1"/>
          <w:highlight w:val="none"/>
          <w14:textFill>
            <w14:solidFill>
              <w14:schemeClr w14:val="tx1"/>
            </w14:solidFill>
          </w14:textFill>
        </w:rPr>
      </w:pPr>
    </w:p>
    <w:p w14:paraId="13D3684B">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第三方生成工具服务-音乐生成</w:t>
      </w:r>
      <w:r>
        <w:rPr>
          <w:rFonts w:ascii="Times New Roman" w:hAnsi="Times New Roman" w:eastAsia="宋体"/>
          <w:b/>
          <w:bCs/>
          <w:color w:val="000000" w:themeColor="text1"/>
          <w:sz w:val="24"/>
          <w:szCs w:val="24"/>
          <w:highlight w:val="none"/>
          <w14:textFill>
            <w14:solidFill>
              <w14:schemeClr w14:val="tx1"/>
            </w14:solidFill>
          </w14:textFill>
        </w:rPr>
        <w:t>能力</w:t>
      </w:r>
      <w:r>
        <w:rPr>
          <w:rFonts w:hint="eastAsia" w:ascii="Times New Roman" w:hAnsi="Times New Roman" w:eastAsia="宋体"/>
          <w:b/>
          <w:bCs/>
          <w:color w:val="000000" w:themeColor="text1"/>
          <w:sz w:val="24"/>
          <w:szCs w:val="24"/>
          <w:highlight w:val="none"/>
          <w14:textFill>
            <w14:solidFill>
              <w14:schemeClr w14:val="tx1"/>
            </w14:solidFill>
          </w14:textFill>
        </w:rPr>
        <w:t>要求</w:t>
      </w:r>
    </w:p>
    <w:p w14:paraId="3054C9F5">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要求提供音乐生成API服务，支持接入AIGC内容创作教学应用平台，每年包含生成歌曲不少于1千首。具体要求如下：</w:t>
      </w:r>
    </w:p>
    <w:p w14:paraId="3FD48522">
      <w:pPr>
        <w:pStyle w:val="42"/>
        <w:numPr>
          <w:ilvl w:val="0"/>
          <w:numId w:val="1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要求支持输入灵感或歌词，生成整首人声音乐&amp;纯音乐。</w:t>
      </w:r>
    </w:p>
    <w:p w14:paraId="57044DFB">
      <w:pPr>
        <w:pStyle w:val="42"/>
        <w:numPr>
          <w:ilvl w:val="0"/>
          <w:numId w:val="1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要求支持选择曲风、情绪。</w:t>
      </w:r>
    </w:p>
    <w:p w14:paraId="5B306DD9">
      <w:pPr>
        <w:pStyle w:val="42"/>
        <w:numPr>
          <w:ilvl w:val="0"/>
          <w:numId w:val="13"/>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要求支持中英文，歌曲听感自然，和谐。</w:t>
      </w:r>
    </w:p>
    <w:p w14:paraId="55064731">
      <w:pPr>
        <w:pStyle w:val="42"/>
        <w:numPr>
          <w:ilvl w:val="0"/>
          <w:numId w:val="0"/>
        </w:numPr>
        <w:ind w:leftChars="0"/>
        <w:rPr>
          <w:rFonts w:hint="eastAsia"/>
          <w:color w:val="000000" w:themeColor="text1"/>
          <w:highlight w:val="none"/>
          <w14:textFill>
            <w14:solidFill>
              <w14:schemeClr w14:val="tx1"/>
            </w14:solidFill>
          </w14:textFill>
        </w:rPr>
      </w:pPr>
    </w:p>
    <w:p w14:paraId="6BF30B9A">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第三方生成工具服务-配音生成</w:t>
      </w:r>
      <w:r>
        <w:rPr>
          <w:rFonts w:ascii="Times New Roman" w:hAnsi="Times New Roman" w:eastAsia="宋体"/>
          <w:b/>
          <w:bCs/>
          <w:color w:val="000000" w:themeColor="text1"/>
          <w:sz w:val="24"/>
          <w:szCs w:val="24"/>
          <w:highlight w:val="none"/>
          <w14:textFill>
            <w14:solidFill>
              <w14:schemeClr w14:val="tx1"/>
            </w14:solidFill>
          </w14:textFill>
        </w:rPr>
        <w:t>能力</w:t>
      </w:r>
      <w:r>
        <w:rPr>
          <w:rFonts w:hint="eastAsia" w:ascii="Times New Roman" w:hAnsi="Times New Roman" w:eastAsia="宋体"/>
          <w:b/>
          <w:bCs/>
          <w:color w:val="000000" w:themeColor="text1"/>
          <w:sz w:val="24"/>
          <w:szCs w:val="24"/>
          <w:highlight w:val="none"/>
          <w14:textFill>
            <w14:solidFill>
              <w14:schemeClr w14:val="tx1"/>
            </w14:solidFill>
          </w14:textFill>
        </w:rPr>
        <w:t>要求</w:t>
      </w:r>
    </w:p>
    <w:p w14:paraId="6610F0C1">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要求提供配音生成API服务，支持接入AIGC内容创作教学应用平台，每年包含不少于1000万字符。具体要求如下：</w:t>
      </w:r>
    </w:p>
    <w:p w14:paraId="32F105D7">
      <w:pPr>
        <w:pStyle w:val="42"/>
        <w:numPr>
          <w:ilvl w:val="0"/>
          <w:numId w:val="1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要求支持多语种、多方言和中英混合，可灵活配置音频参数。</w:t>
      </w:r>
    </w:p>
    <w:p w14:paraId="6379C7E5">
      <w:pPr>
        <w:pStyle w:val="42"/>
        <w:numPr>
          <w:ilvl w:val="0"/>
          <w:numId w:val="14"/>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要求提供多种高品质发音人供用户选择。</w:t>
      </w:r>
    </w:p>
    <w:p w14:paraId="5955D8CB">
      <w:pPr>
        <w:pStyle w:val="42"/>
        <w:numPr>
          <w:ilvl w:val="0"/>
          <w:numId w:val="0"/>
        </w:numPr>
        <w:ind w:leftChars="0"/>
        <w:rPr>
          <w:rFonts w:hint="eastAsia"/>
          <w:color w:val="000000" w:themeColor="text1"/>
          <w:highlight w:val="none"/>
          <w14:textFill>
            <w14:solidFill>
              <w14:schemeClr w14:val="tx1"/>
            </w14:solidFill>
          </w14:textFill>
        </w:rPr>
      </w:pPr>
    </w:p>
    <w:p w14:paraId="51F67E46">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第三方API集成要求</w:t>
      </w:r>
    </w:p>
    <w:p w14:paraId="78571459">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平台上线后，</w:t>
      </w:r>
      <w:r>
        <w:rPr>
          <w:rFonts w:hint="eastAsia"/>
          <w:color w:val="auto"/>
          <w:highlight w:val="none"/>
        </w:rPr>
        <w:t>学院将</w:t>
      </w:r>
      <w:r>
        <w:rPr>
          <w:rFonts w:hint="eastAsia"/>
          <w:color w:val="auto"/>
          <w:highlight w:val="none"/>
          <w:lang w:val="en-US" w:eastAsia="zh-CN"/>
        </w:rPr>
        <w:t>具备</w:t>
      </w:r>
      <w:r>
        <w:rPr>
          <w:rFonts w:hint="eastAsia"/>
          <w:color w:val="auto"/>
          <w:highlight w:val="none"/>
        </w:rPr>
        <w:t>部分第三方工具</w:t>
      </w:r>
      <w:r>
        <w:rPr>
          <w:rFonts w:hint="eastAsia"/>
          <w:color w:val="auto"/>
          <w:highlight w:val="none"/>
          <w:lang w:eastAsia="zh-CN"/>
        </w:rPr>
        <w:t>的</w:t>
      </w:r>
      <w:r>
        <w:rPr>
          <w:rFonts w:hint="eastAsia"/>
          <w:color w:val="auto"/>
          <w:highlight w:val="none"/>
        </w:rPr>
        <w:t>服务能力</w:t>
      </w:r>
      <w:r>
        <w:rPr>
          <w:rFonts w:hint="eastAsia"/>
          <w:color w:val="000000" w:themeColor="text1"/>
          <w:highlight w:val="none"/>
          <w14:textFill>
            <w14:solidFill>
              <w14:schemeClr w14:val="tx1"/>
            </w14:solidFill>
          </w14:textFill>
        </w:rPr>
        <w:t>，要求平台支持对三方账号进行统一管理。</w:t>
      </w:r>
    </w:p>
    <w:p w14:paraId="0369246C">
      <w:pPr>
        <w:pStyle w:val="42"/>
        <w:ind w:firstLine="480"/>
        <w:rPr>
          <w:rFonts w:hint="eastAsia"/>
          <w:color w:val="000000" w:themeColor="text1"/>
          <w:highlight w:val="none"/>
          <w14:textFill>
            <w14:solidFill>
              <w14:schemeClr w14:val="tx1"/>
            </w14:solidFill>
          </w14:textFill>
        </w:rPr>
      </w:pPr>
    </w:p>
    <w:p w14:paraId="3FB4A121">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交换机</w:t>
      </w:r>
    </w:p>
    <w:bookmarkEnd w:id="13"/>
    <w:p w14:paraId="0F964024">
      <w:pPr>
        <w:pStyle w:val="42"/>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以太网交换机主机，支持48个10/100/1000BASE-T电口，支持6个1G/10G BASE-X SFP Plus端口，可插拔AC(70W)电源模块*2，堆叠线缆、SFP+ 万兆模块(850nm，300m，LC)*6</w:t>
      </w:r>
    </w:p>
    <w:p w14:paraId="12F2C24B">
      <w:pPr>
        <w:pStyle w:val="42"/>
        <w:ind w:firstLine="480"/>
        <w:rPr>
          <w:rFonts w:hint="eastAsia"/>
          <w:color w:val="000000" w:themeColor="text1"/>
          <w:highlight w:val="none"/>
          <w14:textFill>
            <w14:solidFill>
              <w14:schemeClr w14:val="tx1"/>
            </w14:solidFill>
          </w14:textFill>
        </w:rPr>
      </w:pPr>
    </w:p>
    <w:p w14:paraId="12274DB1">
      <w:pPr>
        <w:pStyle w:val="40"/>
        <w:spacing w:line="360" w:lineRule="auto"/>
        <w:ind w:left="840"/>
        <w:contextualSpacing/>
        <w:outlineLvl w:val="1"/>
        <w:rPr>
          <w:rFonts w:ascii="Times New Roman" w:hAnsi="Times New Roman" w:eastAsia="宋体"/>
          <w:b/>
          <w:bCs/>
          <w:color w:val="000000" w:themeColor="text1"/>
          <w:sz w:val="24"/>
          <w:szCs w:val="24"/>
          <w:highlight w:val="none"/>
          <w14:textFill>
            <w14:solidFill>
              <w14:schemeClr w14:val="tx1"/>
            </w14:solidFill>
          </w14:textFill>
        </w:rPr>
      </w:pPr>
      <w:r>
        <w:rPr>
          <w:rFonts w:hint="eastAsia" w:ascii="Times New Roman" w:hAnsi="Times New Roman" w:eastAsia="宋体"/>
          <w:b/>
          <w:bCs/>
          <w:color w:val="000000" w:themeColor="text1"/>
          <w:sz w:val="24"/>
          <w:szCs w:val="24"/>
          <w:highlight w:val="none"/>
          <w14:textFill>
            <w14:solidFill>
              <w14:schemeClr w14:val="tx1"/>
            </w14:solidFill>
          </w14:textFill>
        </w:rPr>
        <w:t xml:space="preserve"> 主机电路安全加固系统：</w:t>
      </w:r>
    </w:p>
    <w:p w14:paraId="08DC4404">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系统采用多功能软硬件融合一体化设计；</w:t>
      </w:r>
    </w:p>
    <w:p w14:paraId="0529F039">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机架式≤1.5U，内置显示屏，标配网络防雷接口≥2路、接地通路接口≥2路、RS485接口≥6路、漏电监测接口≥6路、开关量接口≥3路、USB接口≥2路、HDMI接口≥1路、电源输出接口≥6路国标五孔插座，通讯接口包含RJ45、4G、WIFI；（提供产品完整实物且体现接口的清晰照片并加盖</w:t>
      </w:r>
      <w:r>
        <w:rPr>
          <w:rFonts w:hint="eastAsia"/>
          <w:color w:val="FF0000"/>
          <w:highlight w:val="none"/>
          <w:lang w:val="en-US" w:eastAsia="zh-CN"/>
        </w:rPr>
        <w:t>投标人</w:t>
      </w:r>
      <w:r>
        <w:rPr>
          <w:rFonts w:hint="eastAsia"/>
          <w:color w:val="000000" w:themeColor="text1"/>
          <w:highlight w:val="none"/>
          <w14:textFill>
            <w14:solidFill>
              <w14:schemeClr w14:val="tx1"/>
            </w14:solidFill>
          </w14:textFill>
        </w:rPr>
        <w:t>公章）；</w:t>
      </w:r>
    </w:p>
    <w:p w14:paraId="34F178F9">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支持监测指标实时查询、数据分析、GIS地图展示、视频监控、设备管理、告警阈值管理、触发器管理、工单管理、多级用户权限管理；（提供以上各项软件功能截图并加盖公章）</w:t>
      </w:r>
    </w:p>
    <w:p w14:paraId="2EBAC020">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监测网络状态、系统状态、防雷器状态、防雷器温度、防雷器寿命、雷击浪涌次数、接地通断、漏电流、温度、湿度、烟雾、水浸，具有防雷防浪涌和主板保护功能，最大放电电流Imax(8/20μs)≥40kA，电压保护水平Up≤1.7kV，限制电压Ures(5kA)≤1.2kV；（提供具有CNAS</w:t>
      </w:r>
      <w:r>
        <w:rPr>
          <w:rFonts w:hint="eastAsia"/>
          <w:color w:val="auto"/>
          <w:highlight w:val="none"/>
          <w:lang w:val="en-US" w:eastAsia="zh-CN"/>
        </w:rPr>
        <w:t>或</w:t>
      </w:r>
      <w:r>
        <w:rPr>
          <w:rFonts w:hint="eastAsia"/>
          <w:color w:val="000000" w:themeColor="text1"/>
          <w:highlight w:val="none"/>
          <w14:textFill>
            <w14:solidFill>
              <w14:schemeClr w14:val="tx1"/>
            </w14:solidFill>
          </w14:textFill>
        </w:rPr>
        <w:t>CMA标识包含检测结果的检测报告及全国认证认可信息公共服务平台“检验检测报告编号查询”截图并加盖公章）</w:t>
      </w:r>
    </w:p>
    <w:p w14:paraId="4D695308">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bookmarkStart w:id="19" w:name="_GoBack"/>
      <w:bookmarkEnd w:id="19"/>
      <w:r>
        <w:rPr>
          <w:rFonts w:hint="eastAsia"/>
          <w:color w:val="000000" w:themeColor="text1"/>
          <w:highlight w:val="none"/>
          <w14:textFill>
            <w14:solidFill>
              <w14:schemeClr w14:val="tx1"/>
            </w14:solidFill>
          </w14:textFill>
        </w:rPr>
        <w:t>支持基于前端设备、传输设备、后端设备的连接关系生成拓扑图，可视化、图形化呈现网络架构、设备信息、运行状态、端口信息、端口状态、端口流量、链路信息、链路状态等信息；（提供具有CNAS</w:t>
      </w:r>
      <w:r>
        <w:rPr>
          <w:rFonts w:hint="eastAsia"/>
          <w:color w:val="auto"/>
          <w:highlight w:val="none"/>
          <w:lang w:val="en-US" w:eastAsia="zh-CN"/>
        </w:rPr>
        <w:t>或</w:t>
      </w:r>
      <w:r>
        <w:rPr>
          <w:rFonts w:hint="eastAsia"/>
          <w:color w:val="000000" w:themeColor="text1"/>
          <w:highlight w:val="none"/>
          <w14:textFill>
            <w14:solidFill>
              <w14:schemeClr w14:val="tx1"/>
            </w14:solidFill>
          </w14:textFill>
        </w:rPr>
        <w:t>CMA标识包含检测结果的检测报告及全国认证认可信息公共服务平台“检验检测报告编号查询”截图并加盖公章）</w:t>
      </w:r>
    </w:p>
    <w:p w14:paraId="5CA337B7">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内置触控显示屏≥2.8寸，可显示监测状态、设备信息和告警信息等，屏显内容包含：防雷器状态、防雷器温度、防雷器寿命、雷击浪涌次数、接地通断、漏电流、温度、湿度、烟雾、水浸、告警信息、安装单位、联系人、联系电话；维护方式支持手机扫描设备屏幕显示的电子二维码进行关注、注册，手机微信公众号端和管理平台端均可查询、故障报修、图片上传、管理派发工单；（提供具有CNAS</w:t>
      </w:r>
      <w:r>
        <w:rPr>
          <w:rFonts w:hint="eastAsia"/>
          <w:color w:val="auto"/>
          <w:highlight w:val="none"/>
          <w:lang w:val="en-US" w:eastAsia="zh-CN"/>
        </w:rPr>
        <w:t>或</w:t>
      </w:r>
      <w:r>
        <w:rPr>
          <w:rFonts w:hint="eastAsia"/>
          <w:color w:val="000000" w:themeColor="text1"/>
          <w:highlight w:val="none"/>
          <w14:textFill>
            <w14:solidFill>
              <w14:schemeClr w14:val="tx1"/>
            </w14:solidFill>
          </w14:textFill>
        </w:rPr>
        <w:t>CMA标识包含检测结果的检测报告及全国认证认可信息公共服务平台“检验检测报告编号查询”截图并加盖公章）</w:t>
      </w:r>
    </w:p>
    <w:p w14:paraId="7C9D5133">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支持设备运行状态异常告警，告警类型包含：设备流量异常告警、设备离线告警、IP冲突告警、网络连通性异常告警；</w:t>
      </w:r>
    </w:p>
    <w:p w14:paraId="3A411D0B">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支持监测所连接设备是否漏电，设备漏电流≤25mA时就可触发报警；</w:t>
      </w:r>
    </w:p>
    <w:p w14:paraId="6F041139">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内置</w:t>
      </w:r>
      <w:r>
        <w:rPr>
          <w:rFonts w:hint="eastAsia"/>
          <w:color w:val="000000" w:themeColor="text1"/>
          <w:highlight w:val="none"/>
          <w:lang w:val="en-US" w:eastAsia="zh-CN"/>
          <w14:textFill>
            <w14:solidFill>
              <w14:schemeClr w14:val="tx1"/>
            </w14:solidFill>
          </w14:textFill>
        </w:rPr>
        <w:t>不少于</w:t>
      </w:r>
      <w:r>
        <w:rPr>
          <w:rFonts w:hint="eastAsia"/>
          <w:color w:val="000000" w:themeColor="text1"/>
          <w:highlight w:val="none"/>
          <w14:textFill>
            <w14:solidFill>
              <w14:schemeClr w14:val="tx1"/>
            </w14:solidFill>
          </w14:textFill>
        </w:rPr>
        <w:t>1个告警扬声器，消音键</w:t>
      </w:r>
      <w:r>
        <w:rPr>
          <w:rFonts w:hint="eastAsia"/>
          <w:color w:val="000000" w:themeColor="text1"/>
          <w:highlight w:val="none"/>
          <w:lang w:val="en-US" w:eastAsia="zh-CN"/>
          <w14:textFill>
            <w14:solidFill>
              <w14:schemeClr w14:val="tx1"/>
            </w14:solidFill>
          </w14:textFill>
        </w:rPr>
        <w:t>不少于</w:t>
      </w:r>
      <w:r>
        <w:rPr>
          <w:rFonts w:hint="eastAsia"/>
          <w:color w:val="000000" w:themeColor="text1"/>
          <w:highlight w:val="none"/>
          <w14:textFill>
            <w14:solidFill>
              <w14:schemeClr w14:val="tx1"/>
            </w14:solidFill>
          </w14:textFill>
        </w:rPr>
        <w:t>1个，告警方式支持设备端扬声器告警、手机微信短信告警、管理平台告警；</w:t>
      </w:r>
    </w:p>
    <w:p w14:paraId="0A15BCEF">
      <w:pPr>
        <w:pStyle w:val="42"/>
        <w:numPr>
          <w:ilvl w:val="0"/>
          <w:numId w:val="15"/>
        </w:numPr>
        <w:ind w:left="425" w:leftChars="0" w:hanging="425"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发生市电停电或断电时，即使无后备电源供电，设备也可发出断电报警；</w:t>
      </w:r>
    </w:p>
    <w:p w14:paraId="7EFDCECC">
      <w:pPr>
        <w:pStyle w:val="42"/>
        <w:numPr>
          <w:ilvl w:val="0"/>
          <w:numId w:val="0"/>
        </w:numPr>
        <w:ind w:leftChars="0"/>
        <w:rPr>
          <w:rFonts w:hint="eastAsia"/>
          <w:color w:val="000000" w:themeColor="text1"/>
          <w:highlight w:val="none"/>
          <w14:textFill>
            <w14:solidFill>
              <w14:schemeClr w14:val="tx1"/>
            </w14:solidFill>
          </w14:textFill>
        </w:rPr>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1"/>
    </w:sdtPr>
    <w:sdtEndPr>
      <w:rPr>
        <w:rStyle w:val="19"/>
      </w:rPr>
    </w:sdtEndPr>
    <w:sdtContent>
      <w:p w14:paraId="1A946738">
        <w:pPr>
          <w:pStyle w:val="12"/>
          <w:framePr w:wrap="auto" w:vAnchor="text" w:hAnchor="margin" w:xAlign="right" w:y="1"/>
          <w:rPr>
            <w:rStyle w:val="19"/>
          </w:rPr>
        </w:pPr>
        <w:r>
          <w:rPr>
            <w:rStyle w:val="19"/>
          </w:rPr>
          <w:fldChar w:fldCharType="begin"/>
        </w:r>
        <w:r>
          <w:rPr>
            <w:rStyle w:val="19"/>
          </w:rPr>
          <w:instrText xml:space="preserve"> PAGE </w:instrText>
        </w:r>
        <w:r>
          <w:rPr>
            <w:rStyle w:val="19"/>
          </w:rPr>
          <w:fldChar w:fldCharType="separate"/>
        </w:r>
        <w:r>
          <w:rPr>
            <w:rStyle w:val="19"/>
          </w:rPr>
          <w:t>1</w:t>
        </w:r>
        <w:r>
          <w:rPr>
            <w:rStyle w:val="19"/>
          </w:rPr>
          <w:fldChar w:fldCharType="end"/>
        </w:r>
      </w:p>
    </w:sdtContent>
  </w:sdt>
  <w:p w14:paraId="4A489434">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9"/>
      </w:rPr>
      <w:id w:val="645015979"/>
    </w:sdtPr>
    <w:sdtEndPr>
      <w:rPr>
        <w:rStyle w:val="19"/>
      </w:rPr>
    </w:sdtEndPr>
    <w:sdtContent>
      <w:p w14:paraId="5D8D1429">
        <w:pPr>
          <w:pStyle w:val="12"/>
          <w:framePr w:wrap="auto" w:vAnchor="text" w:hAnchor="margin" w:xAlign="right" w:y="1"/>
          <w:rPr>
            <w:rStyle w:val="19"/>
          </w:rPr>
        </w:pPr>
        <w:r>
          <w:rPr>
            <w:rStyle w:val="19"/>
          </w:rPr>
          <w:fldChar w:fldCharType="begin"/>
        </w:r>
        <w:r>
          <w:rPr>
            <w:rStyle w:val="19"/>
          </w:rPr>
          <w:instrText xml:space="preserve"> PAGE </w:instrText>
        </w:r>
        <w:r>
          <w:rPr>
            <w:rStyle w:val="19"/>
          </w:rPr>
          <w:fldChar w:fldCharType="separate"/>
        </w:r>
        <w:r>
          <w:rPr>
            <w:rStyle w:val="19"/>
          </w:rPr>
          <w:fldChar w:fldCharType="end"/>
        </w:r>
      </w:p>
    </w:sdtContent>
  </w:sdt>
  <w:p w14:paraId="084B40DD">
    <w:pPr>
      <w:pStyle w:val="12"/>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81D4B"/>
    <w:multiLevelType w:val="singleLevel"/>
    <w:tmpl w:val="83381D4B"/>
    <w:lvl w:ilvl="0" w:tentative="0">
      <w:start w:val="1"/>
      <w:numFmt w:val="decimal"/>
      <w:lvlText w:val="(%1)"/>
      <w:lvlJc w:val="left"/>
      <w:pPr>
        <w:ind w:left="425" w:hanging="425"/>
      </w:pPr>
      <w:rPr>
        <w:rFonts w:hint="default"/>
      </w:rPr>
    </w:lvl>
  </w:abstractNum>
  <w:abstractNum w:abstractNumId="1">
    <w:nsid w:val="88E7484E"/>
    <w:multiLevelType w:val="singleLevel"/>
    <w:tmpl w:val="88E7484E"/>
    <w:lvl w:ilvl="0" w:tentative="0">
      <w:start w:val="1"/>
      <w:numFmt w:val="decimal"/>
      <w:lvlText w:val="(%1)"/>
      <w:lvlJc w:val="left"/>
      <w:pPr>
        <w:ind w:left="425" w:hanging="425"/>
      </w:pPr>
      <w:rPr>
        <w:rFonts w:hint="default"/>
      </w:rPr>
    </w:lvl>
  </w:abstractNum>
  <w:abstractNum w:abstractNumId="2">
    <w:nsid w:val="A45DCDC0"/>
    <w:multiLevelType w:val="singleLevel"/>
    <w:tmpl w:val="A45DCDC0"/>
    <w:lvl w:ilvl="0" w:tentative="0">
      <w:start w:val="1"/>
      <w:numFmt w:val="decimal"/>
      <w:lvlText w:val="(%1)"/>
      <w:lvlJc w:val="left"/>
      <w:pPr>
        <w:ind w:left="425" w:hanging="425"/>
      </w:pPr>
      <w:rPr>
        <w:rFonts w:hint="default"/>
      </w:rPr>
    </w:lvl>
  </w:abstractNum>
  <w:abstractNum w:abstractNumId="3">
    <w:nsid w:val="A8E1B525"/>
    <w:multiLevelType w:val="singleLevel"/>
    <w:tmpl w:val="A8E1B525"/>
    <w:lvl w:ilvl="0" w:tentative="0">
      <w:start w:val="1"/>
      <w:numFmt w:val="decimal"/>
      <w:lvlText w:val="(%1)"/>
      <w:lvlJc w:val="left"/>
      <w:pPr>
        <w:ind w:left="425" w:hanging="425"/>
      </w:pPr>
      <w:rPr>
        <w:rFonts w:hint="default"/>
      </w:rPr>
    </w:lvl>
  </w:abstractNum>
  <w:abstractNum w:abstractNumId="4">
    <w:nsid w:val="C0133783"/>
    <w:multiLevelType w:val="singleLevel"/>
    <w:tmpl w:val="C0133783"/>
    <w:lvl w:ilvl="0" w:tentative="0">
      <w:start w:val="1"/>
      <w:numFmt w:val="decimal"/>
      <w:lvlText w:val="(%1)"/>
      <w:lvlJc w:val="left"/>
      <w:pPr>
        <w:ind w:left="425" w:hanging="425"/>
      </w:pPr>
      <w:rPr>
        <w:rFonts w:hint="default"/>
      </w:rPr>
    </w:lvl>
  </w:abstractNum>
  <w:abstractNum w:abstractNumId="5">
    <w:nsid w:val="DE7F3CA1"/>
    <w:multiLevelType w:val="singleLevel"/>
    <w:tmpl w:val="DE7F3CA1"/>
    <w:lvl w:ilvl="0" w:tentative="0">
      <w:start w:val="1"/>
      <w:numFmt w:val="decimal"/>
      <w:lvlText w:val="(%1)"/>
      <w:lvlJc w:val="left"/>
      <w:pPr>
        <w:ind w:left="425" w:hanging="425"/>
      </w:pPr>
      <w:rPr>
        <w:rFonts w:hint="default"/>
      </w:rPr>
    </w:lvl>
  </w:abstractNum>
  <w:abstractNum w:abstractNumId="6">
    <w:nsid w:val="EE5F45E9"/>
    <w:multiLevelType w:val="singleLevel"/>
    <w:tmpl w:val="EE5F45E9"/>
    <w:lvl w:ilvl="0" w:tentative="0">
      <w:start w:val="1"/>
      <w:numFmt w:val="decimal"/>
      <w:lvlText w:val="(%1)"/>
      <w:lvlJc w:val="left"/>
      <w:pPr>
        <w:ind w:left="425" w:hanging="425"/>
      </w:pPr>
      <w:rPr>
        <w:rFonts w:hint="default"/>
      </w:rPr>
    </w:lvl>
  </w:abstractNum>
  <w:abstractNum w:abstractNumId="7">
    <w:nsid w:val="104B36D1"/>
    <w:multiLevelType w:val="singleLevel"/>
    <w:tmpl w:val="104B36D1"/>
    <w:lvl w:ilvl="0" w:tentative="0">
      <w:start w:val="1"/>
      <w:numFmt w:val="decimal"/>
      <w:lvlText w:val="(%1)"/>
      <w:lvlJc w:val="left"/>
      <w:pPr>
        <w:ind w:left="425" w:hanging="425"/>
      </w:pPr>
      <w:rPr>
        <w:rFonts w:hint="default"/>
      </w:rPr>
    </w:lvl>
  </w:abstractNum>
  <w:abstractNum w:abstractNumId="8">
    <w:nsid w:val="1CF54E38"/>
    <w:multiLevelType w:val="singleLevel"/>
    <w:tmpl w:val="1CF54E38"/>
    <w:lvl w:ilvl="0" w:tentative="0">
      <w:start w:val="1"/>
      <w:numFmt w:val="decimal"/>
      <w:lvlText w:val="(%1)"/>
      <w:lvlJc w:val="left"/>
      <w:pPr>
        <w:ind w:left="425" w:hanging="425"/>
      </w:pPr>
      <w:rPr>
        <w:rFonts w:hint="default"/>
      </w:rPr>
    </w:lvl>
  </w:abstractNum>
  <w:abstractNum w:abstractNumId="9">
    <w:nsid w:val="21D1015C"/>
    <w:multiLevelType w:val="multilevel"/>
    <w:tmpl w:val="21D1015C"/>
    <w:lvl w:ilvl="0" w:tentative="0">
      <w:start w:val="1"/>
      <w:numFmt w:val="chineseCountingThousand"/>
      <w:pStyle w:val="39"/>
      <w:lvlText w:val="%1"/>
      <w:lvlJc w:val="left"/>
      <w:pPr>
        <w:ind w:left="425" w:hanging="425"/>
      </w:pPr>
      <w:rPr>
        <w:rFonts w:hint="eastAsia"/>
      </w:rPr>
    </w:lvl>
    <w:lvl w:ilvl="1" w:tentative="0">
      <w:start w:val="1"/>
      <w:numFmt w:val="decimal"/>
      <w:pStyle w:val="40"/>
      <w:isLgl/>
      <w:lvlText w:val="%1.%2"/>
      <w:lvlJc w:val="left"/>
      <w:pPr>
        <w:ind w:left="992" w:hanging="567"/>
      </w:pPr>
      <w:rPr>
        <w:rFonts w:hint="eastAsia"/>
      </w:rPr>
    </w:lvl>
    <w:lvl w:ilvl="2" w:tentative="0">
      <w:start w:val="1"/>
      <w:numFmt w:val="decimal"/>
      <w:pStyle w:val="41"/>
      <w:isLg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2C83F5FA"/>
    <w:multiLevelType w:val="singleLevel"/>
    <w:tmpl w:val="2C83F5FA"/>
    <w:lvl w:ilvl="0" w:tentative="0">
      <w:start w:val="1"/>
      <w:numFmt w:val="decimal"/>
      <w:lvlText w:val="(%1)"/>
      <w:lvlJc w:val="left"/>
      <w:pPr>
        <w:ind w:left="425" w:hanging="425"/>
      </w:pPr>
      <w:rPr>
        <w:rFonts w:hint="default"/>
      </w:rPr>
    </w:lvl>
  </w:abstractNum>
  <w:abstractNum w:abstractNumId="11">
    <w:nsid w:val="37CEBD76"/>
    <w:multiLevelType w:val="singleLevel"/>
    <w:tmpl w:val="37CEBD76"/>
    <w:lvl w:ilvl="0" w:tentative="0">
      <w:start w:val="1"/>
      <w:numFmt w:val="decimal"/>
      <w:lvlText w:val="(%1)"/>
      <w:lvlJc w:val="left"/>
      <w:pPr>
        <w:ind w:left="425" w:hanging="425"/>
      </w:pPr>
      <w:rPr>
        <w:rFonts w:hint="default"/>
      </w:rPr>
    </w:lvl>
  </w:abstractNum>
  <w:abstractNum w:abstractNumId="12">
    <w:nsid w:val="466F4A62"/>
    <w:multiLevelType w:val="multilevel"/>
    <w:tmpl w:val="466F4A62"/>
    <w:lvl w:ilvl="0" w:tentative="0">
      <w:start w:val="1"/>
      <w:numFmt w:val="decimal"/>
      <w:lvlText w:val="%1."/>
      <w:lvlJc w:val="left"/>
      <w:pPr>
        <w:ind w:left="920" w:hanging="440"/>
      </w:pPr>
      <w:rPr>
        <w:rFonts w:hint="default" w:asciiTheme="minorEastAsia" w:hAnsiTheme="minorEastAsia" w:eastAsiaTheme="minorEastAsia" w:cstheme="minor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5887957A"/>
    <w:multiLevelType w:val="singleLevel"/>
    <w:tmpl w:val="5887957A"/>
    <w:lvl w:ilvl="0" w:tentative="0">
      <w:start w:val="1"/>
      <w:numFmt w:val="decimal"/>
      <w:lvlText w:val="(%1)"/>
      <w:lvlJc w:val="left"/>
      <w:pPr>
        <w:ind w:left="425" w:hanging="425"/>
      </w:pPr>
      <w:rPr>
        <w:rFonts w:hint="default"/>
      </w:rPr>
    </w:lvl>
  </w:abstractNum>
  <w:abstractNum w:abstractNumId="14">
    <w:nsid w:val="6D0B1D69"/>
    <w:multiLevelType w:val="singleLevel"/>
    <w:tmpl w:val="6D0B1D69"/>
    <w:lvl w:ilvl="0" w:tentative="0">
      <w:start w:val="1"/>
      <w:numFmt w:val="decimal"/>
      <w:lvlText w:val="(%1)"/>
      <w:lvlJc w:val="left"/>
      <w:pPr>
        <w:ind w:left="425" w:hanging="425"/>
      </w:pPr>
      <w:rPr>
        <w:rFonts w:hint="default"/>
      </w:rPr>
    </w:lvl>
  </w:abstractNum>
  <w:num w:numId="1">
    <w:abstractNumId w:val="9"/>
  </w:num>
  <w:num w:numId="2">
    <w:abstractNumId w:val="12"/>
  </w:num>
  <w:num w:numId="3">
    <w:abstractNumId w:val="3"/>
  </w:num>
  <w:num w:numId="4">
    <w:abstractNumId w:val="7"/>
  </w:num>
  <w:num w:numId="5">
    <w:abstractNumId w:val="13"/>
  </w:num>
  <w:num w:numId="6">
    <w:abstractNumId w:val="14"/>
  </w:num>
  <w:num w:numId="7">
    <w:abstractNumId w:val="2"/>
  </w:num>
  <w:num w:numId="8">
    <w:abstractNumId w:val="11"/>
  </w:num>
  <w:num w:numId="9">
    <w:abstractNumId w:val="5"/>
  </w:num>
  <w:num w:numId="10">
    <w:abstractNumId w:val="8"/>
  </w:num>
  <w:num w:numId="11">
    <w:abstractNumId w:val="1"/>
  </w:num>
  <w:num w:numId="12">
    <w:abstractNumId w:val="6"/>
  </w:num>
  <w:num w:numId="13">
    <w:abstractNumId w:val="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C41"/>
    <w:rsid w:val="00011CF8"/>
    <w:rsid w:val="000666E9"/>
    <w:rsid w:val="00104720"/>
    <w:rsid w:val="001B73F3"/>
    <w:rsid w:val="001D48B4"/>
    <w:rsid w:val="00243327"/>
    <w:rsid w:val="00311FDE"/>
    <w:rsid w:val="0033507F"/>
    <w:rsid w:val="003371F6"/>
    <w:rsid w:val="00455CA0"/>
    <w:rsid w:val="00575C5F"/>
    <w:rsid w:val="005D1AEC"/>
    <w:rsid w:val="005D210C"/>
    <w:rsid w:val="00625EBB"/>
    <w:rsid w:val="00650049"/>
    <w:rsid w:val="006A0B26"/>
    <w:rsid w:val="006A4806"/>
    <w:rsid w:val="006B24ED"/>
    <w:rsid w:val="006D1136"/>
    <w:rsid w:val="00722D3D"/>
    <w:rsid w:val="00727E1B"/>
    <w:rsid w:val="00733139"/>
    <w:rsid w:val="007B0FE0"/>
    <w:rsid w:val="007D5EBB"/>
    <w:rsid w:val="007E0273"/>
    <w:rsid w:val="007F665E"/>
    <w:rsid w:val="008147D3"/>
    <w:rsid w:val="00824232"/>
    <w:rsid w:val="00864245"/>
    <w:rsid w:val="008E24D1"/>
    <w:rsid w:val="00920C41"/>
    <w:rsid w:val="0096707C"/>
    <w:rsid w:val="00974D2A"/>
    <w:rsid w:val="009855CE"/>
    <w:rsid w:val="00A433A6"/>
    <w:rsid w:val="00B368E3"/>
    <w:rsid w:val="00BA48CC"/>
    <w:rsid w:val="00C40869"/>
    <w:rsid w:val="00CC020F"/>
    <w:rsid w:val="00CD028B"/>
    <w:rsid w:val="00D06919"/>
    <w:rsid w:val="00D16834"/>
    <w:rsid w:val="00D2087F"/>
    <w:rsid w:val="00D86809"/>
    <w:rsid w:val="00E4153F"/>
    <w:rsid w:val="00F16FA8"/>
    <w:rsid w:val="00F267E8"/>
    <w:rsid w:val="00FD0079"/>
    <w:rsid w:val="01F3521E"/>
    <w:rsid w:val="05D029D4"/>
    <w:rsid w:val="05DE61E6"/>
    <w:rsid w:val="07927C4C"/>
    <w:rsid w:val="0842786A"/>
    <w:rsid w:val="08D211C7"/>
    <w:rsid w:val="0ADB0F46"/>
    <w:rsid w:val="0AF43473"/>
    <w:rsid w:val="0C6D3E1F"/>
    <w:rsid w:val="0D330BC5"/>
    <w:rsid w:val="0D786F20"/>
    <w:rsid w:val="0F4B669A"/>
    <w:rsid w:val="10156CA8"/>
    <w:rsid w:val="10AD0C8E"/>
    <w:rsid w:val="10EE2B27"/>
    <w:rsid w:val="11450922"/>
    <w:rsid w:val="119F4A7B"/>
    <w:rsid w:val="12902616"/>
    <w:rsid w:val="14847F58"/>
    <w:rsid w:val="15023C9F"/>
    <w:rsid w:val="15237771"/>
    <w:rsid w:val="1AD2039F"/>
    <w:rsid w:val="1C1222ED"/>
    <w:rsid w:val="1C76287C"/>
    <w:rsid w:val="1CA81940"/>
    <w:rsid w:val="210F504D"/>
    <w:rsid w:val="214F0ECF"/>
    <w:rsid w:val="23AB5501"/>
    <w:rsid w:val="23EE3640"/>
    <w:rsid w:val="245636BF"/>
    <w:rsid w:val="265E685B"/>
    <w:rsid w:val="26BB5A5B"/>
    <w:rsid w:val="26BC7A25"/>
    <w:rsid w:val="270C6703"/>
    <w:rsid w:val="281E2746"/>
    <w:rsid w:val="28793E20"/>
    <w:rsid w:val="29471828"/>
    <w:rsid w:val="296028EA"/>
    <w:rsid w:val="2A1A0CEB"/>
    <w:rsid w:val="2B786611"/>
    <w:rsid w:val="2C1A1476"/>
    <w:rsid w:val="2DD613CD"/>
    <w:rsid w:val="2F3A598B"/>
    <w:rsid w:val="31BE1C16"/>
    <w:rsid w:val="32496611"/>
    <w:rsid w:val="333D3C9C"/>
    <w:rsid w:val="349873DC"/>
    <w:rsid w:val="361135BE"/>
    <w:rsid w:val="37FA03AE"/>
    <w:rsid w:val="38B238C7"/>
    <w:rsid w:val="38BF1443"/>
    <w:rsid w:val="3AF15A98"/>
    <w:rsid w:val="3B60677A"/>
    <w:rsid w:val="3DEC2546"/>
    <w:rsid w:val="3DF633C5"/>
    <w:rsid w:val="423B3A9C"/>
    <w:rsid w:val="43D47D05"/>
    <w:rsid w:val="44B57B36"/>
    <w:rsid w:val="44BF09B5"/>
    <w:rsid w:val="467430A6"/>
    <w:rsid w:val="46E12E64"/>
    <w:rsid w:val="46F578A6"/>
    <w:rsid w:val="477737C9"/>
    <w:rsid w:val="49F44C5D"/>
    <w:rsid w:val="4A8C758B"/>
    <w:rsid w:val="4C8D3147"/>
    <w:rsid w:val="51145BE4"/>
    <w:rsid w:val="57CE2F91"/>
    <w:rsid w:val="584525F3"/>
    <w:rsid w:val="59723DF0"/>
    <w:rsid w:val="59853B23"/>
    <w:rsid w:val="5C37160E"/>
    <w:rsid w:val="5D8130C8"/>
    <w:rsid w:val="66170870"/>
    <w:rsid w:val="66432D9C"/>
    <w:rsid w:val="67E45EB9"/>
    <w:rsid w:val="68784853"/>
    <w:rsid w:val="69735746"/>
    <w:rsid w:val="69F30635"/>
    <w:rsid w:val="6EEB5D7F"/>
    <w:rsid w:val="70294DB1"/>
    <w:rsid w:val="72281098"/>
    <w:rsid w:val="77073972"/>
    <w:rsid w:val="779A2A38"/>
    <w:rsid w:val="77F9775E"/>
    <w:rsid w:val="784D6765"/>
    <w:rsid w:val="791F31F5"/>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104862" w:themeColor="accent1" w:themeShade="BF"/>
    </w:rPr>
  </w:style>
  <w:style w:type="paragraph" w:styleId="7">
    <w:name w:val="heading 6"/>
    <w:basedOn w:val="1"/>
    <w:next w:val="1"/>
    <w:link w:val="26"/>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50"/>
    <w:unhideWhenUsed/>
    <w:qFormat/>
    <w:uiPriority w:val="99"/>
  </w:style>
  <w:style w:type="paragraph" w:styleId="12">
    <w:name w:val="footer"/>
    <w:basedOn w:val="1"/>
    <w:link w:val="49"/>
    <w:unhideWhenUsed/>
    <w:qFormat/>
    <w:uiPriority w:val="99"/>
    <w:pPr>
      <w:tabs>
        <w:tab w:val="center" w:pos="4153"/>
        <w:tab w:val="right" w:pos="8306"/>
      </w:tabs>
      <w:snapToGrid w:val="0"/>
    </w:pPr>
    <w:rPr>
      <w:sz w:val="18"/>
      <w:szCs w:val="18"/>
    </w:rPr>
  </w:style>
  <w:style w:type="paragraph" w:styleId="13">
    <w:name w:val="header"/>
    <w:basedOn w:val="1"/>
    <w:link w:val="52"/>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51"/>
    <w:semiHidden/>
    <w:unhideWhenUsed/>
    <w:qFormat/>
    <w:uiPriority w:val="99"/>
    <w:rPr>
      <w:b/>
      <w:bCs/>
    </w:rPr>
  </w:style>
  <w:style w:type="character" w:styleId="19">
    <w:name w:val="page number"/>
    <w:basedOn w:val="18"/>
    <w:semiHidden/>
    <w:unhideWhenUsed/>
    <w:qFormat/>
    <w:uiPriority w:val="99"/>
  </w:style>
  <w:style w:type="character" w:styleId="20">
    <w:name w:val="annotation reference"/>
    <w:basedOn w:val="18"/>
    <w:semiHidden/>
    <w:unhideWhenUsed/>
    <w:qFormat/>
    <w:uiPriority w:val="99"/>
    <w:rPr>
      <w:sz w:val="21"/>
      <w:szCs w:val="21"/>
    </w:rPr>
  </w:style>
  <w:style w:type="character" w:customStyle="1" w:styleId="21">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8"/>
    <w:link w:val="5"/>
    <w:semiHidden/>
    <w:qFormat/>
    <w:uiPriority w:val="9"/>
    <w:rPr>
      <w:rFonts w:cstheme="majorBidi"/>
      <w:color w:val="104862" w:themeColor="accent1" w:themeShade="BF"/>
      <w:sz w:val="28"/>
      <w:szCs w:val="28"/>
    </w:rPr>
  </w:style>
  <w:style w:type="character" w:customStyle="1" w:styleId="25">
    <w:name w:val="标题 5 字符"/>
    <w:basedOn w:val="18"/>
    <w:link w:val="6"/>
    <w:semiHidden/>
    <w:qFormat/>
    <w:uiPriority w:val="9"/>
    <w:rPr>
      <w:rFonts w:cstheme="majorBidi"/>
      <w:color w:val="104862" w:themeColor="accent1" w:themeShade="BF"/>
      <w:sz w:val="24"/>
    </w:rPr>
  </w:style>
  <w:style w:type="character" w:customStyle="1" w:styleId="26">
    <w:name w:val="标题 6 字符"/>
    <w:basedOn w:val="18"/>
    <w:link w:val="7"/>
    <w:semiHidden/>
    <w:qFormat/>
    <w:uiPriority w:val="9"/>
    <w:rPr>
      <w:rFonts w:cstheme="majorBidi"/>
      <w:b/>
      <w:bCs/>
      <w:color w:val="104862" w:themeColor="accent1" w:themeShade="BF"/>
    </w:rPr>
  </w:style>
  <w:style w:type="character" w:customStyle="1" w:styleId="27">
    <w:name w:val="标题 7 字符"/>
    <w:basedOn w:val="18"/>
    <w:link w:val="8"/>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link w:val="47"/>
    <w:qFormat/>
    <w:uiPriority w:val="34"/>
    <w:pPr>
      <w:ind w:left="720"/>
      <w:contextualSpacing/>
    </w:pPr>
  </w:style>
  <w:style w:type="character" w:customStyle="1" w:styleId="35">
    <w:name w:val="明显强调1"/>
    <w:basedOn w:val="18"/>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8"/>
    <w:link w:val="36"/>
    <w:qFormat/>
    <w:uiPriority w:val="30"/>
    <w:rPr>
      <w:i/>
      <w:iCs/>
      <w:color w:val="104862" w:themeColor="accent1" w:themeShade="BF"/>
    </w:rPr>
  </w:style>
  <w:style w:type="character" w:customStyle="1" w:styleId="38">
    <w:name w:val="明显参考1"/>
    <w:basedOn w:val="18"/>
    <w:qFormat/>
    <w:uiPriority w:val="32"/>
    <w:rPr>
      <w:b/>
      <w:bCs/>
      <w:smallCaps/>
      <w:color w:val="104862" w:themeColor="accent1" w:themeShade="BF"/>
      <w:spacing w:val="5"/>
    </w:rPr>
  </w:style>
  <w:style w:type="paragraph" w:customStyle="1" w:styleId="39">
    <w:name w:val="a一级标题"/>
    <w:basedOn w:val="1"/>
    <w:next w:val="40"/>
    <w:link w:val="43"/>
    <w:qFormat/>
    <w:uiPriority w:val="0"/>
    <w:pPr>
      <w:widowControl w:val="0"/>
      <w:numPr>
        <w:ilvl w:val="0"/>
        <w:numId w:val="1"/>
      </w:numPr>
      <w:jc w:val="center"/>
      <w:outlineLvl w:val="0"/>
    </w:pPr>
    <w:rPr>
      <w:rFonts w:ascii="微软雅黑" w:hAnsi="微软雅黑" w:eastAsia="黑体" w:cstheme="minorBidi"/>
      <w:bCs/>
      <w:kern w:val="2"/>
      <w:sz w:val="36"/>
      <w:szCs w:val="32"/>
    </w:rPr>
  </w:style>
  <w:style w:type="paragraph" w:customStyle="1" w:styleId="40">
    <w:name w:val="二级标题"/>
    <w:basedOn w:val="39"/>
    <w:next w:val="41"/>
    <w:link w:val="44"/>
    <w:qFormat/>
    <w:uiPriority w:val="0"/>
    <w:pPr>
      <w:numPr>
        <w:ilvl w:val="1"/>
      </w:numPr>
      <w:jc w:val="left"/>
      <w:outlineLvl w:val="2"/>
    </w:pPr>
    <w:rPr>
      <w:rFonts w:ascii="黑体" w:hAnsi="黑体"/>
      <w:bCs w:val="0"/>
      <w:sz w:val="30"/>
      <w:szCs w:val="28"/>
    </w:rPr>
  </w:style>
  <w:style w:type="paragraph" w:customStyle="1" w:styleId="41">
    <w:name w:val="c三级标题"/>
    <w:basedOn w:val="39"/>
    <w:next w:val="42"/>
    <w:link w:val="45"/>
    <w:qFormat/>
    <w:uiPriority w:val="0"/>
    <w:pPr>
      <w:numPr>
        <w:ilvl w:val="2"/>
      </w:numPr>
      <w:jc w:val="left"/>
      <w:outlineLvl w:val="3"/>
    </w:pPr>
    <w:rPr>
      <w:rFonts w:ascii="黑体" w:hAnsi="黑体"/>
      <w:bCs w:val="0"/>
      <w:sz w:val="24"/>
    </w:rPr>
  </w:style>
  <w:style w:type="paragraph" w:customStyle="1" w:styleId="42">
    <w:name w:val="aa正文样式"/>
    <w:basedOn w:val="1"/>
    <w:link w:val="46"/>
    <w:qFormat/>
    <w:uiPriority w:val="0"/>
    <w:pPr>
      <w:widowControl w:val="0"/>
      <w:spacing w:line="360" w:lineRule="auto"/>
      <w:ind w:firstLine="200" w:firstLineChars="200"/>
      <w:jc w:val="both"/>
    </w:pPr>
    <w:rPr>
      <w:rFonts w:ascii="宋体" w:hAnsi="宋体" w:eastAsia="宋体" w:cstheme="minorBidi"/>
      <w:kern w:val="2"/>
      <w:szCs w:val="28"/>
    </w:rPr>
  </w:style>
  <w:style w:type="character" w:customStyle="1" w:styleId="43">
    <w:name w:val="a一级标题 字符"/>
    <w:basedOn w:val="18"/>
    <w:link w:val="39"/>
    <w:qFormat/>
    <w:uiPriority w:val="0"/>
    <w:rPr>
      <w:rFonts w:ascii="微软雅黑" w:hAnsi="微软雅黑" w:eastAsia="黑体"/>
      <w:bCs/>
      <w:sz w:val="36"/>
      <w:szCs w:val="32"/>
      <w14:ligatures w14:val="none"/>
    </w:rPr>
  </w:style>
  <w:style w:type="character" w:customStyle="1" w:styleId="44">
    <w:name w:val="二级标题 字符"/>
    <w:basedOn w:val="43"/>
    <w:link w:val="40"/>
    <w:qFormat/>
    <w:uiPriority w:val="0"/>
    <w:rPr>
      <w:rFonts w:ascii="黑体" w:hAnsi="黑体" w:eastAsia="黑体"/>
      <w:bCs w:val="0"/>
      <w:sz w:val="30"/>
      <w:szCs w:val="28"/>
      <w14:ligatures w14:val="none"/>
    </w:rPr>
  </w:style>
  <w:style w:type="character" w:customStyle="1" w:styleId="45">
    <w:name w:val="c三级标题 字符"/>
    <w:basedOn w:val="43"/>
    <w:link w:val="41"/>
    <w:qFormat/>
    <w:uiPriority w:val="0"/>
    <w:rPr>
      <w:rFonts w:ascii="黑体" w:hAnsi="黑体" w:eastAsia="黑体"/>
      <w:bCs w:val="0"/>
      <w:sz w:val="24"/>
      <w:szCs w:val="32"/>
      <w14:ligatures w14:val="none"/>
    </w:rPr>
  </w:style>
  <w:style w:type="character" w:customStyle="1" w:styleId="46">
    <w:name w:val="aa正文样式 字符"/>
    <w:basedOn w:val="18"/>
    <w:link w:val="42"/>
    <w:qFormat/>
    <w:uiPriority w:val="0"/>
    <w:rPr>
      <w:rFonts w:ascii="宋体" w:hAnsi="宋体" w:eastAsia="宋体"/>
      <w:sz w:val="24"/>
      <w:szCs w:val="28"/>
      <w14:ligatures w14:val="none"/>
    </w:rPr>
  </w:style>
  <w:style w:type="character" w:customStyle="1" w:styleId="47">
    <w:name w:val="列表段落 字符"/>
    <w:basedOn w:val="18"/>
    <w:link w:val="34"/>
    <w:qFormat/>
    <w:locked/>
    <w:uiPriority w:val="34"/>
  </w:style>
  <w:style w:type="character" w:customStyle="1" w:styleId="48">
    <w:name w:val="apple-converted-space"/>
    <w:qFormat/>
    <w:uiPriority w:val="0"/>
  </w:style>
  <w:style w:type="character" w:customStyle="1" w:styleId="49">
    <w:name w:val="页脚 字符"/>
    <w:basedOn w:val="18"/>
    <w:link w:val="12"/>
    <w:qFormat/>
    <w:uiPriority w:val="99"/>
    <w:rPr>
      <w:rFonts w:ascii="Times New Roman" w:hAnsi="Times New Roman" w:cs="Times New Roman"/>
      <w:kern w:val="0"/>
      <w:sz w:val="18"/>
      <w:szCs w:val="18"/>
      <w14:ligatures w14:val="none"/>
    </w:rPr>
  </w:style>
  <w:style w:type="character" w:customStyle="1" w:styleId="50">
    <w:name w:val="批注文字 字符"/>
    <w:basedOn w:val="18"/>
    <w:link w:val="11"/>
    <w:qFormat/>
    <w:uiPriority w:val="99"/>
    <w:rPr>
      <w:rFonts w:ascii="Times New Roman" w:hAnsi="Times New Roman" w:cs="Times New Roman"/>
      <w:kern w:val="0"/>
      <w:sz w:val="24"/>
      <w14:ligatures w14:val="none"/>
    </w:rPr>
  </w:style>
  <w:style w:type="character" w:customStyle="1" w:styleId="51">
    <w:name w:val="批注主题 字符"/>
    <w:basedOn w:val="50"/>
    <w:link w:val="16"/>
    <w:semiHidden/>
    <w:qFormat/>
    <w:uiPriority w:val="99"/>
    <w:rPr>
      <w:rFonts w:ascii="Times New Roman" w:hAnsi="Times New Roman" w:cs="Times New Roman"/>
      <w:b/>
      <w:bCs/>
      <w:kern w:val="0"/>
      <w:sz w:val="24"/>
      <w14:ligatures w14:val="none"/>
    </w:rPr>
  </w:style>
  <w:style w:type="character" w:customStyle="1" w:styleId="52">
    <w:name w:val="页眉 字符"/>
    <w:basedOn w:val="18"/>
    <w:link w:val="13"/>
    <w:qFormat/>
    <w:uiPriority w:val="99"/>
    <w:rPr>
      <w:rFonts w:ascii="Times New Roman" w:hAnsi="Times New Roman" w:cs="Times New Roman"/>
      <w:kern w:val="0"/>
      <w:sz w:val="18"/>
      <w:szCs w:val="18"/>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12</Pages>
  <Words>7034</Words>
  <Characters>7382</Characters>
  <Lines>165</Lines>
  <Paragraphs>167</Paragraphs>
  <TotalTime>6</TotalTime>
  <ScaleCrop>false</ScaleCrop>
  <LinksUpToDate>false</LinksUpToDate>
  <CharactersWithSpaces>7405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2025-11-03T11:07:00Z</dcterms:created>
  <dc:creator>Bell</dc:creator>
  <cp:lastModifiedBy>段池</cp:lastModifiedBy>
  <dcterms:modified xsi:type="dcterms:W3CDTF">2026-01-28T08:35:09Z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6F84A53E8AD74AC319557869611003A2_43</vt:lpwstr>
  </property>
</Properties>
</file>