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805E5">
      <w:pPr>
        <w:spacing w:after="312" w:afterLines="100" w:line="440" w:lineRule="exact"/>
        <w:jc w:val="center"/>
        <w:rPr>
          <w:rFonts w:ascii="Times New Roman" w:hAnsi="Times New Roman" w:eastAsia="宋体" w:cs="Times New Roman"/>
          <w:b/>
          <w:bCs/>
          <w:sz w:val="30"/>
          <w:szCs w:val="30"/>
        </w:rPr>
      </w:pPr>
      <w:r>
        <w:rPr>
          <w:rFonts w:hint="eastAsia" w:ascii="Times New Roman" w:hAnsi="Times New Roman" w:eastAsia="宋体" w:cs="Times New Roman"/>
          <w:b/>
          <w:bCs/>
          <w:sz w:val="30"/>
          <w:szCs w:val="30"/>
        </w:rPr>
        <w:t>商务要求</w:t>
      </w:r>
    </w:p>
    <w:p w14:paraId="264014D1">
      <w:pPr>
        <w:pStyle w:val="12"/>
        <w:widowControl/>
        <w:spacing w:line="360" w:lineRule="auto"/>
        <w:rPr>
          <w:rFonts w:hint="eastAsia" w:ascii="仿宋" w:hAnsi="仿宋" w:eastAsia="仿宋" w:cs="仿宋"/>
          <w:sz w:val="24"/>
        </w:rPr>
      </w:pPr>
      <w:r>
        <w:rPr>
          <w:rFonts w:hint="eastAsia" w:ascii="仿宋" w:hAnsi="仿宋" w:eastAsia="仿宋" w:cs="仿宋"/>
          <w:sz w:val="24"/>
        </w:rPr>
        <w:t>一、商务要求</w:t>
      </w:r>
    </w:p>
    <w:p w14:paraId="0CD6D05C">
      <w:pPr>
        <w:numPr>
          <w:ilvl w:val="0"/>
          <w:numId w:val="1"/>
        </w:numPr>
        <w:spacing w:line="360" w:lineRule="auto"/>
        <w:ind w:firstLine="482" w:firstLineChars="200"/>
        <w:jc w:val="left"/>
        <w:rPr>
          <w:rFonts w:hint="eastAsia" w:ascii="仿宋" w:hAnsi="仿宋" w:eastAsia="仿宋" w:cs="仿宋"/>
          <w:sz w:val="24"/>
        </w:rPr>
      </w:pPr>
      <w:r>
        <w:rPr>
          <w:rFonts w:hint="eastAsia" w:ascii="仿宋" w:hAnsi="仿宋" w:eastAsia="仿宋" w:cs="仿宋"/>
          <w:b/>
          <w:bCs/>
          <w:sz w:val="24"/>
        </w:rPr>
        <w:t>供货周期</w:t>
      </w:r>
      <w:r>
        <w:rPr>
          <w:rFonts w:hint="eastAsia" w:ascii="仿宋" w:hAnsi="仿宋" w:eastAsia="仿宋" w:cs="仿宋"/>
          <w:sz w:val="24"/>
        </w:rPr>
        <w:t>：合同签订后接采购人通知2个月内交货、安装、调试。</w:t>
      </w:r>
    </w:p>
    <w:p w14:paraId="2804113F">
      <w:pPr>
        <w:numPr>
          <w:ilvl w:val="0"/>
          <w:numId w:val="1"/>
        </w:numPr>
        <w:spacing w:line="360" w:lineRule="auto"/>
        <w:ind w:firstLine="482" w:firstLineChars="200"/>
        <w:jc w:val="left"/>
        <w:rPr>
          <w:rFonts w:hint="eastAsia" w:ascii="仿宋" w:hAnsi="仿宋" w:eastAsia="仿宋" w:cs="仿宋"/>
          <w:sz w:val="24"/>
        </w:rPr>
      </w:pPr>
      <w:r>
        <w:rPr>
          <w:rFonts w:hint="eastAsia" w:ascii="仿宋" w:hAnsi="仿宋" w:eastAsia="仿宋" w:cs="仿宋"/>
          <w:b/>
          <w:bCs/>
          <w:sz w:val="24"/>
        </w:rPr>
        <w:t>供货地点</w:t>
      </w:r>
      <w:r>
        <w:rPr>
          <w:rFonts w:hint="eastAsia" w:ascii="仿宋" w:hAnsi="仿宋" w:eastAsia="仿宋" w:cs="仿宋"/>
          <w:sz w:val="24"/>
        </w:rPr>
        <w:t>：中南大学杏林校区实验动物学部 2-4楼</w:t>
      </w:r>
    </w:p>
    <w:p w14:paraId="3F165DBA">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b/>
          <w:bCs/>
          <w:sz w:val="24"/>
        </w:rPr>
        <w:t>质保期：</w:t>
      </w:r>
    </w:p>
    <w:p w14:paraId="278456C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3.1、整机（所有部件）保修5年（包含压力表的定期检定、安全阀定期检验和特种设备年检、定期检验并承担检验检定费用），质保期自最终验收交付使用合格次日起计算，并提供相关承诺书，须提供原厂维保服务。质保期内发生任何设备损坏，所需要的维修费用（包括零部件费用、所有维修费用）均由中标人承担（人为操作不当造成的损坏除外）。中标人不能修复、调换或不能退货的，应向采购人退回相应货款，并承担相应的违约责任。保修期内，免费提供所需耗材和用品，同时如果任何零配件损坏，中标人免费更换和安装一个设备原厂的相关配件；对于同一部位出现2次以上故障，中标人应当免费更换该部件。</w:t>
      </w:r>
    </w:p>
    <w:p w14:paraId="3CE79389">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4、履约质保金</w:t>
      </w:r>
      <w:r>
        <w:rPr>
          <w:rFonts w:hint="eastAsia" w:ascii="仿宋" w:hAnsi="仿宋" w:eastAsia="仿宋" w:cs="仿宋"/>
          <w:b/>
          <w:bCs/>
          <w:sz w:val="24"/>
        </w:rPr>
        <w:t>（如有）</w:t>
      </w:r>
      <w:r>
        <w:rPr>
          <w:rFonts w:hint="eastAsia" w:ascii="仿宋" w:hAnsi="仿宋" w:eastAsia="仿宋" w:cs="仿宋"/>
          <w:sz w:val="24"/>
        </w:rPr>
        <w:t>：5%</w:t>
      </w:r>
    </w:p>
    <w:p w14:paraId="1B13CDB5">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b/>
          <w:bCs/>
          <w:sz w:val="24"/>
        </w:rPr>
        <w:t>付款周期及比例</w:t>
      </w:r>
      <w:r>
        <w:rPr>
          <w:rFonts w:hint="eastAsia" w:ascii="仿宋" w:hAnsi="仿宋" w:eastAsia="仿宋" w:cs="仿宋"/>
          <w:sz w:val="24"/>
        </w:rPr>
        <w:t>：</w:t>
      </w:r>
    </w:p>
    <w:p w14:paraId="150A129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付款方式：合同签订后7个工作日内，甲方支付合同金额30%作预付款；货到甲方指定地点并经验收合格后5个工作日内，乙方应向甲方账户缴纳合同金额5%作履约质保金后，甲方凭借乙方开具的增值税专用发票，向乙方支付70%货款。</w:t>
      </w:r>
    </w:p>
    <w:p w14:paraId="62123C69">
      <w:pPr>
        <w:widowControl/>
        <w:spacing w:line="360" w:lineRule="auto"/>
        <w:rPr>
          <w:rFonts w:hint="eastAsia" w:ascii="仿宋" w:hAnsi="仿宋" w:eastAsia="仿宋" w:cs="仿宋"/>
          <w:sz w:val="24"/>
        </w:rPr>
      </w:pPr>
      <w:r>
        <w:rPr>
          <w:rFonts w:hint="eastAsia" w:ascii="仿宋" w:hAnsi="仿宋" w:eastAsia="仿宋" w:cs="仿宋"/>
          <w:sz w:val="24"/>
        </w:rPr>
        <w:t>二、服务要求</w:t>
      </w:r>
    </w:p>
    <w:p w14:paraId="70A46A39">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1.设备安装、调试和验收（在货物签收后执行）</w:t>
      </w:r>
    </w:p>
    <w:p w14:paraId="6E8C03FE">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1.1 中标人应在货物签收后立即内向采购人提供完整的技术方案和安装方案，技术方案包括设备的工作原理和主要组成结构等，安装方案包括主机和配件、水路和电路、排水和排气的安装方案等，并提供技术咨询和现场指导，若在上述过程中出现人身安全事故或其他事故，其责任由中标人承担。设备安装、调试的费用由中标人承担。</w:t>
      </w:r>
    </w:p>
    <w:p w14:paraId="0C8207B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1.2如果由于设备本身原因而在2个月内调试没有通过，可返厂维修，或更换一套全新的相同型号配置设备。</w:t>
      </w:r>
    </w:p>
    <w:p w14:paraId="736E7BE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1.3返厂维修周期不得超过2个月，次数不得超过2次，否则必须更换一套全新的相同型号配置或符合技术性能要求的设备。采购人认定的特殊设备可延长调试时间。</w:t>
      </w:r>
    </w:p>
    <w:p w14:paraId="70941BE4">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2.技术培训</w:t>
      </w:r>
    </w:p>
    <w:p w14:paraId="7CFEE50C">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2.1设备安装调试完成后，中标人应对采购方技术人员进行调试、操作、设备维护、故障排除等方面的免费现场培训。</w:t>
      </w:r>
    </w:p>
    <w:p w14:paraId="59A5FADD">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2.2初级培训：设备安装调试完，验收前，中标人工程师在现场就设备的维护、基本操作、日常保养、潜在故障分析等各方面提供2人以上免费初步培训，培训周期不少于5天。</w:t>
      </w:r>
    </w:p>
    <w:p w14:paraId="4F95D3B7">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2.3应用培训：在初级培训结束后，待采购人使用一段时间，中标人派遣专门的应用工程师到客户现场进行高级应用培训。2人以上免费培训时间不少于5天，具体培训内容与日期由双方协商确定。培训应保证操作人员能够正确操作设备，熟练地运用设备的各种功能，能够懂得如何进行日常的保养，能够处理一些常见的简单故障。</w:t>
      </w:r>
    </w:p>
    <w:p w14:paraId="41E7EEBE">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3.保修期</w:t>
      </w:r>
    </w:p>
    <w:p w14:paraId="79BED200">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3.1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288B482E">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4.中标人提供终身维修服务</w:t>
      </w:r>
    </w:p>
    <w:p w14:paraId="025CE20F">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4.1中标人需注明设备的免费上门质保期限和具体的维修保障内容，在质保期内，厂商技术工程师每年进行至少两次现场免费检修，以保证采购人设备的正常运行。在质保期满后，中标人应提供终身上门维修保养且仅收取成本费，并在标书中标明上门维修保养的费用。保证不低于十五年的零配件供应。若制造商厂家决定停止生产某种备品备件，中标人应提前6个月通知采购人，以便采购人购买足够的备品备件。</w:t>
      </w:r>
    </w:p>
    <w:p w14:paraId="405908A8">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4.2中标方报价应包括易损部件和主要部件的分项报价，保修期到期后，维修免人工费，更换部件价格的涨幅不超过2%/年（从购置年份算起）。</w:t>
      </w:r>
    </w:p>
    <w:p w14:paraId="32ADD925">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5.维修响应时间</w:t>
      </w:r>
    </w:p>
    <w:p w14:paraId="52702F31">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5.1中标人应在24小时内对采购人的服务要求做出响应，2天内到达设备现场（节假日除外），维修服务包括远程指导和现场维修。如设备发生重大问题或其他无法立刻解决的问题应在一周内解决或提出明确解决方案，如因中标人原因不能及时修复，保修期将相应顺延。</w:t>
      </w:r>
    </w:p>
    <w:p w14:paraId="34CF40F8">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5.2保修期间，若有技术问题或非停机故障，当接到甲方电话报修后，2小时内做出响应，4小时内维保人员到达现场，重大紧急情况3小时内应到位，非停机故障需在72小时解决；能提供远程技术支持，国内24小时电话技术支持，及时排除故障，保障动物房安全运行。</w:t>
      </w:r>
    </w:p>
    <w:p w14:paraId="0DFC3F97">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5.3 保修期间出现下列情形之一，中标人免费整机换新：①单次停机故障在甲方电话报修72小时内未解决；②保修期间累计三次停机故障在甲方电话报修48小时内未解决；③保修期间累计五次非停机故障在24小时内未解决。由此产生的材料、运输、拆装、人工等所有费用均由中标人承担。</w:t>
      </w:r>
    </w:p>
    <w:p w14:paraId="21204100">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6.维修质量</w:t>
      </w:r>
    </w:p>
    <w:p w14:paraId="6D6A58DE">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6.1要求中标人具有合格资质的固定维修站，并配有专业维修工程师，保证提供及时优质的售后服务。生产厂家具有设备重要的备品备件，一般配件问题在7个工作日内解决，若逾期，采购人有权要求误期赔偿费，每天赔偿费按该中标设备故障出现前6个月的平均日工作量对应价值计收，直至交货为止。中标人累计两次维保不按时履行或累计两次维保验收不合格，甲方有权终止合同并向中标人索赔，赔偿金额为剩余维保金额的2倍。</w:t>
      </w:r>
    </w:p>
    <w:p w14:paraId="23E01B82">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7.软件升级</w:t>
      </w:r>
    </w:p>
    <w:p w14:paraId="678C2291">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在硬件支持的前提下，终身免费为采购人用户提供软件升级服务。</w:t>
      </w:r>
    </w:p>
    <w:p w14:paraId="0616F470">
      <w:pPr>
        <w:pStyle w:val="37"/>
        <w:widowControl/>
        <w:spacing w:line="360" w:lineRule="auto"/>
        <w:ind w:firstLine="480"/>
        <w:rPr>
          <w:rFonts w:hint="eastAsia" w:ascii="仿宋" w:hAnsi="仿宋" w:eastAsia="仿宋" w:cs="仿宋"/>
          <w:sz w:val="24"/>
        </w:rPr>
      </w:pPr>
      <w:r>
        <w:rPr>
          <w:rFonts w:hint="eastAsia" w:ascii="仿宋" w:hAnsi="仿宋" w:eastAsia="仿宋" w:cs="仿宋"/>
          <w:sz w:val="24"/>
        </w:rPr>
        <w:t>8.提供设备装配总图、部件装配图、中文操作使用手册、中文维护手册、相关的软件备份、电气原理图、接线图等全套图纸资料随机一同交付，提供完整的产品出厂验收说明书。</w:t>
      </w:r>
    </w:p>
    <w:p w14:paraId="39AC2569">
      <w:pPr>
        <w:widowControl/>
        <w:adjustRightInd w:val="0"/>
        <w:snapToGrid w:val="0"/>
        <w:spacing w:line="360" w:lineRule="auto"/>
        <w:ind w:firstLine="480" w:firstLineChars="200"/>
        <w:rPr>
          <w:rFonts w:hint="eastAsia" w:ascii="仿宋" w:hAnsi="仿宋" w:eastAsia="仿宋" w:cs="仿宋"/>
          <w:sz w:val="24"/>
        </w:rPr>
      </w:pPr>
    </w:p>
    <w:p w14:paraId="1C23F3E1">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9.验收</w:t>
      </w:r>
    </w:p>
    <w:p w14:paraId="2A4FC433">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9.1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1269A9D">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9.2因本设备涉及到管道排布和安装，中标人应出具施工图纸，包括平面布局、管道工艺、机电专业、给排水专业等方面，需达到甲方验收标准。由于安装环境条件导致产品无法安装或无法正常使用的责任，均由中标人承担。</w:t>
      </w:r>
    </w:p>
    <w:p w14:paraId="51065AD1">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9.3货物到货验收时，中标人需提供特种承压设备检测检验的产品质量证明书、产品说明书等，并办理《特种设备使用登记证》（按台办理），相关办理费用由中标人承担，验收不合格则做退货处理。</w:t>
      </w:r>
    </w:p>
    <w:p w14:paraId="7BD6DF56">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9.4中标人安装人员对现场安装安全负有责任。中标人、采购人指定人员共同参加开箱检验，及时对货物数量、品牌、型号、规格进行核对、检验，如果在联合开箱检验中发现货物有任何短少，缺损，缺陷或与合同规定不符，双方代表当场签署1份详细报告，该报告将作为采购人在中标人有责任的情况下要求中标人进行更换、修理或补充发货的有效证据。同时中标人应及时地提出解决方案，并尽快地给以解决。</w:t>
      </w:r>
    </w:p>
    <w:p w14:paraId="7D42D728">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9.5验收期限：设备安装、调试、培训完毕后正常试运行1个月，之后组织预验收（档案验收+技术指标验收）和现场综合验收。中标人应派相关人员参加并协助采购人进行验收，验收流程与方法按采购人的规定执行。</w:t>
      </w:r>
    </w:p>
    <w:p w14:paraId="08450F8C">
      <w:pPr>
        <w:widowControl/>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9.6在采购人对主机、附件、软件的性能和功能进行测试合格基础上，由采购人授权人签字验收。</w:t>
      </w:r>
    </w:p>
    <w:p w14:paraId="5C7224A1">
      <w:pPr>
        <w:widowControl/>
        <w:spacing w:line="360" w:lineRule="auto"/>
        <w:rPr>
          <w:rFonts w:hint="eastAsia" w:ascii="仿宋" w:hAnsi="仿宋" w:eastAsia="仿宋" w:cs="仿宋"/>
          <w:sz w:val="24"/>
        </w:rPr>
      </w:pPr>
      <w:r>
        <w:rPr>
          <w:rFonts w:hint="eastAsia" w:ascii="仿宋" w:hAnsi="仿宋" w:eastAsia="仿宋" w:cs="仿宋"/>
          <w:sz w:val="24"/>
        </w:rPr>
        <w:t>三、包装要求及运输方式</w:t>
      </w:r>
    </w:p>
    <w:p w14:paraId="21F42C3A">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2F516A9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2.在未收货前，货物保管、安全均由中标人负责。</w:t>
      </w:r>
    </w:p>
    <w:p w14:paraId="6172DB33">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3.提供的产品须为全新原装正品，相关配套附件质量优良，数量齐全。</w:t>
      </w:r>
    </w:p>
    <w:p w14:paraId="0E502426">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4.采购人使用该设备的任何一部分，当受第三方提出的侵犯其专利权、商标权或工业设计权的投诉时，一切后果由中标人负责。</w:t>
      </w:r>
    </w:p>
    <w:p w14:paraId="33877982">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其他要求：所有投标人必须提供技术成熟的定型产品，不接受通过改造才能达标的产品，不接受目前尚处于开发、设计、研制或试验阶段的产品。</w:t>
      </w:r>
    </w:p>
    <w:p w14:paraId="6F4D3070">
      <w:pPr>
        <w:widowControl/>
        <w:spacing w:line="360" w:lineRule="auto"/>
        <w:rPr>
          <w:rFonts w:hint="eastAsia" w:ascii="仿宋" w:hAnsi="仿宋" w:eastAsia="仿宋" w:cs="仿宋"/>
          <w:sz w:val="24"/>
        </w:rPr>
      </w:pPr>
      <w:r>
        <w:rPr>
          <w:rFonts w:hint="eastAsia" w:ascii="仿宋" w:hAnsi="仿宋" w:eastAsia="仿宋" w:cs="仿宋"/>
          <w:sz w:val="24"/>
        </w:rPr>
        <w:t>四、其他要求</w:t>
      </w:r>
    </w:p>
    <w:p w14:paraId="7F482C13">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所投产品为国产的：</w:t>
      </w:r>
    </w:p>
    <w:p w14:paraId="0ECFCA9E">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1、乙方逾期交付货物或逾期完成安装调试的，每逾期一天，须按合同总金额的万分之【十】支付逾期履行违约金。有下列情形之一的，甲方有权解除本合同：</w:t>
      </w:r>
    </w:p>
    <w:p w14:paraId="549CD0A9">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（1）乙方迟延交付货物或迟延完成安装调试，累计逾期达到【10】日的。</w:t>
      </w:r>
    </w:p>
    <w:p w14:paraId="1EFDC541">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27063DE1">
      <w:pPr>
        <w:spacing w:line="360" w:lineRule="auto"/>
        <w:rPr>
          <w:lang w:eastAsia="zh-CN"/>
        </w:rPr>
      </w:pPr>
      <w:r>
        <w:rPr>
          <w:rFonts w:hint="eastAsia" w:ascii="仿宋" w:hAnsi="仿宋" w:eastAsia="仿宋" w:cs="仿宋"/>
          <w:sz w:val="24"/>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仿宋_GB2312">
    <w:altName w:val="Microsoft YaHei UI"/>
    <w:panose1 w:val="00000000000000000000"/>
    <w:charset w:val="86"/>
    <w:family w:val="auto"/>
    <w:pitch w:val="default"/>
    <w:sig w:usb0="00000000" w:usb1="00000000" w:usb2="00000012"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FB1D1D"/>
    <w:multiLevelType w:val="singleLevel"/>
    <w:tmpl w:val="F3FB1D1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143"/>
    <w:rsid w:val="00182FAF"/>
    <w:rsid w:val="001A1B8C"/>
    <w:rsid w:val="002E11CD"/>
    <w:rsid w:val="00336BDF"/>
    <w:rsid w:val="003B779C"/>
    <w:rsid w:val="00495ACB"/>
    <w:rsid w:val="004C573F"/>
    <w:rsid w:val="004F493C"/>
    <w:rsid w:val="00563CCC"/>
    <w:rsid w:val="005F3D24"/>
    <w:rsid w:val="00607564"/>
    <w:rsid w:val="00802143"/>
    <w:rsid w:val="008E1F50"/>
    <w:rsid w:val="0094068D"/>
    <w:rsid w:val="009B5C85"/>
    <w:rsid w:val="009E2739"/>
    <w:rsid w:val="00B775F0"/>
    <w:rsid w:val="00BC214A"/>
    <w:rsid w:val="00C32BC5"/>
    <w:rsid w:val="00C66CC8"/>
    <w:rsid w:val="00CC4887"/>
    <w:rsid w:val="00DB495C"/>
    <w:rsid w:val="00E56071"/>
    <w:rsid w:val="00FF528F"/>
    <w:rsid w:val="66A8191A"/>
    <w:rsid w:val="7B765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50"/>
    <w:semiHidden/>
    <w:unhideWhenUsed/>
    <w:qFormat/>
    <w:uiPriority w:val="99"/>
    <w:pPr>
      <w:jc w:val="left"/>
    </w:pPr>
  </w:style>
  <w:style w:type="paragraph" w:styleId="12">
    <w:name w:val="Body Text"/>
    <w:basedOn w:val="1"/>
    <w:link w:val="46"/>
    <w:semiHidden/>
    <w:unhideWhenUsed/>
    <w:qFormat/>
    <w:uiPriority w:val="99"/>
    <w:pPr>
      <w:spacing w:after="120"/>
    </w:pPr>
    <w:rPr>
      <w:rFonts w:ascii="Times New Roman" w:hAnsi="Times New Roman" w:eastAsia="宋体" w:cs="Times New Roman"/>
      <w:szCs w:val="24"/>
      <w14:ligatures w14:val="none"/>
    </w:rPr>
  </w:style>
  <w:style w:type="paragraph" w:styleId="13">
    <w:name w:val="Body Text Indent"/>
    <w:basedOn w:val="1"/>
    <w:link w:val="48"/>
    <w:semiHidden/>
    <w:unhideWhenUsed/>
    <w:qFormat/>
    <w:uiPriority w:val="99"/>
    <w:pPr>
      <w:spacing w:after="120"/>
      <w:ind w:left="420" w:leftChars="200"/>
    </w:pPr>
  </w:style>
  <w:style w:type="paragraph" w:styleId="14">
    <w:name w:val="Balloon Text"/>
    <w:basedOn w:val="1"/>
    <w:link w:val="52"/>
    <w:semiHidden/>
    <w:unhideWhenUsed/>
    <w:qFormat/>
    <w:uiPriority w:val="99"/>
    <w:rPr>
      <w:sz w:val="18"/>
      <w:szCs w:val="18"/>
    </w:rPr>
  </w:style>
  <w:style w:type="paragraph" w:styleId="15">
    <w:name w:val="footer"/>
    <w:basedOn w:val="1"/>
    <w:link w:val="45"/>
    <w:unhideWhenUsed/>
    <w:qFormat/>
    <w:uiPriority w:val="99"/>
    <w:pPr>
      <w:tabs>
        <w:tab w:val="center" w:pos="4153"/>
        <w:tab w:val="right" w:pos="8306"/>
      </w:tabs>
      <w:snapToGrid w:val="0"/>
      <w:jc w:val="left"/>
    </w:pPr>
    <w:rPr>
      <w:sz w:val="18"/>
      <w:szCs w:val="18"/>
    </w:rPr>
  </w:style>
  <w:style w:type="paragraph" w:styleId="16">
    <w:name w:val="header"/>
    <w:basedOn w:val="1"/>
    <w:link w:val="44"/>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Subtitle"/>
    <w:basedOn w:val="1"/>
    <w:next w:val="1"/>
    <w:link w:val="34"/>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9">
    <w:name w:val="annotation subject"/>
    <w:basedOn w:val="11"/>
    <w:next w:val="11"/>
    <w:link w:val="51"/>
    <w:semiHidden/>
    <w:unhideWhenUsed/>
    <w:qFormat/>
    <w:uiPriority w:val="99"/>
    <w:rPr>
      <w:b/>
      <w:bCs/>
    </w:rPr>
  </w:style>
  <w:style w:type="paragraph" w:styleId="20">
    <w:name w:val="Body Text First Indent 2"/>
    <w:basedOn w:val="13"/>
    <w:link w:val="49"/>
    <w:semiHidden/>
    <w:unhideWhenUsed/>
    <w:qFormat/>
    <w:uiPriority w:val="99"/>
    <w:pPr>
      <w:ind w:firstLine="420" w:firstLineChars="200"/>
    </w:pPr>
  </w:style>
  <w:style w:type="character" w:styleId="23">
    <w:name w:val="annotation reference"/>
    <w:basedOn w:val="22"/>
    <w:semiHidden/>
    <w:unhideWhenUsed/>
    <w:qFormat/>
    <w:uiPriority w:val="99"/>
    <w:rPr>
      <w:sz w:val="21"/>
      <w:szCs w:val="21"/>
    </w:rPr>
  </w:style>
  <w:style w:type="character" w:customStyle="1" w:styleId="24">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2"/>
    <w:link w:val="5"/>
    <w:semiHidden/>
    <w:qFormat/>
    <w:uiPriority w:val="9"/>
    <w:rPr>
      <w:rFonts w:cstheme="majorBidi"/>
      <w:color w:val="104862" w:themeColor="accent1" w:themeShade="BF"/>
      <w:sz w:val="28"/>
      <w:szCs w:val="28"/>
    </w:rPr>
  </w:style>
  <w:style w:type="character" w:customStyle="1" w:styleId="28">
    <w:name w:val="标题 5 字符"/>
    <w:basedOn w:val="22"/>
    <w:link w:val="6"/>
    <w:semiHidden/>
    <w:qFormat/>
    <w:uiPriority w:val="9"/>
    <w:rPr>
      <w:rFonts w:cstheme="majorBidi"/>
      <w:color w:val="104862" w:themeColor="accent1" w:themeShade="BF"/>
      <w:sz w:val="24"/>
      <w:szCs w:val="24"/>
    </w:rPr>
  </w:style>
  <w:style w:type="character" w:customStyle="1" w:styleId="29">
    <w:name w:val="标题 6 字符"/>
    <w:basedOn w:val="22"/>
    <w:link w:val="7"/>
    <w:semiHidden/>
    <w:qFormat/>
    <w:uiPriority w:val="9"/>
    <w:rPr>
      <w:rFonts w:cstheme="majorBidi"/>
      <w:b/>
      <w:bCs/>
      <w:color w:val="104862" w:themeColor="accent1" w:themeShade="BF"/>
    </w:rPr>
  </w:style>
  <w:style w:type="character" w:customStyle="1" w:styleId="30">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2"/>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2"/>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22"/>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2"/>
    <w:link w:val="39"/>
    <w:qFormat/>
    <w:uiPriority w:val="30"/>
    <w:rPr>
      <w:i/>
      <w:iCs/>
      <w:color w:val="104862" w:themeColor="accent1" w:themeShade="BF"/>
    </w:rPr>
  </w:style>
  <w:style w:type="character" w:customStyle="1" w:styleId="41">
    <w:name w:val="Intense Reference"/>
    <w:basedOn w:val="22"/>
    <w:qFormat/>
    <w:uiPriority w:val="32"/>
    <w:rPr>
      <w:b/>
      <w:bCs/>
      <w:smallCaps/>
      <w:color w:val="104862" w:themeColor="accent1" w:themeShade="BF"/>
      <w:spacing w:val="5"/>
    </w:rPr>
  </w:style>
  <w:style w:type="paragraph" w:customStyle="1" w:styleId="42">
    <w:name w:val="Style1"/>
    <w:basedOn w:val="1"/>
    <w:qFormat/>
    <w:uiPriority w:val="0"/>
    <w:pPr>
      <w:widowControl/>
      <w:tabs>
        <w:tab w:val="left" w:pos="-720"/>
      </w:tabs>
      <w:spacing w:after="120"/>
    </w:pPr>
    <w:rPr>
      <w:rFonts w:ascii="Times New Roman" w:hAnsi="Times New Roman" w:eastAsia="宋体" w:cs="Times New Roman"/>
      <w:spacing w:val="-3"/>
      <w:kern w:val="0"/>
      <w:sz w:val="24"/>
      <w:szCs w:val="20"/>
      <w:lang w:val="en-AU" w:eastAsia="en-US"/>
    </w:rPr>
  </w:style>
  <w:style w:type="paragraph" w:customStyle="1" w:styleId="43">
    <w:name w:val="正文无缩进"/>
    <w:qFormat/>
    <w:uiPriority w:val="0"/>
    <w:pPr>
      <w:widowControl w:val="0"/>
      <w:snapToGrid w:val="0"/>
      <w:spacing w:before="120" w:line="300" w:lineRule="auto"/>
      <w:jc w:val="both"/>
    </w:pPr>
    <w:rPr>
      <w:rFonts w:ascii="Times New Roman" w:hAnsi="Times New Roman" w:eastAsia="宋体" w:cs="Times New Roman"/>
      <w:kern w:val="2"/>
      <w:sz w:val="24"/>
      <w:szCs w:val="20"/>
      <w:lang w:val="en-US" w:eastAsia="zh-CN" w:bidi="ar-SA"/>
      <w14:ligatures w14:val="standardContextual"/>
    </w:rPr>
  </w:style>
  <w:style w:type="character" w:customStyle="1" w:styleId="44">
    <w:name w:val="页眉 字符"/>
    <w:basedOn w:val="22"/>
    <w:link w:val="16"/>
    <w:qFormat/>
    <w:uiPriority w:val="99"/>
    <w:rPr>
      <w:sz w:val="18"/>
      <w:szCs w:val="18"/>
    </w:rPr>
  </w:style>
  <w:style w:type="character" w:customStyle="1" w:styleId="45">
    <w:name w:val="页脚 字符"/>
    <w:basedOn w:val="22"/>
    <w:link w:val="15"/>
    <w:qFormat/>
    <w:uiPriority w:val="99"/>
    <w:rPr>
      <w:sz w:val="18"/>
      <w:szCs w:val="18"/>
    </w:rPr>
  </w:style>
  <w:style w:type="character" w:customStyle="1" w:styleId="46">
    <w:name w:val="正文文本 字符"/>
    <w:basedOn w:val="22"/>
    <w:link w:val="12"/>
    <w:semiHidden/>
    <w:qFormat/>
    <w:uiPriority w:val="99"/>
    <w:rPr>
      <w:rFonts w:ascii="Times New Roman" w:hAnsi="Times New Roman" w:eastAsia="宋体" w:cs="Times New Roman"/>
      <w:szCs w:val="24"/>
      <w14:ligatures w14:val="none"/>
    </w:rPr>
  </w:style>
  <w:style w:type="paragraph" w:customStyle="1" w:styleId="47">
    <w:name w:val="_Style 3"/>
    <w:basedOn w:val="13"/>
    <w:next w:val="20"/>
    <w:qFormat/>
    <w:uiPriority w:val="0"/>
    <w:pPr>
      <w:ind w:left="200" w:firstLine="200" w:firstLineChars="200"/>
    </w:pPr>
    <w:rPr>
      <w:rFonts w:ascii="Calibri" w:hAnsi="Calibri" w:eastAsia="宋体" w:cs="Times New Roman"/>
      <w:szCs w:val="24"/>
      <w14:ligatures w14:val="none"/>
    </w:rPr>
  </w:style>
  <w:style w:type="character" w:customStyle="1" w:styleId="48">
    <w:name w:val="正文文本缩进 字符"/>
    <w:basedOn w:val="22"/>
    <w:link w:val="13"/>
    <w:semiHidden/>
    <w:qFormat/>
    <w:uiPriority w:val="99"/>
  </w:style>
  <w:style w:type="character" w:customStyle="1" w:styleId="49">
    <w:name w:val="正文文本首行缩进 2 字符"/>
    <w:basedOn w:val="48"/>
    <w:link w:val="20"/>
    <w:semiHidden/>
    <w:qFormat/>
    <w:uiPriority w:val="99"/>
  </w:style>
  <w:style w:type="character" w:customStyle="1" w:styleId="50">
    <w:name w:val="批注文字 字符"/>
    <w:basedOn w:val="22"/>
    <w:link w:val="11"/>
    <w:semiHidden/>
    <w:qFormat/>
    <w:uiPriority w:val="99"/>
  </w:style>
  <w:style w:type="character" w:customStyle="1" w:styleId="51">
    <w:name w:val="批注主题 字符"/>
    <w:basedOn w:val="50"/>
    <w:link w:val="19"/>
    <w:semiHidden/>
    <w:qFormat/>
    <w:uiPriority w:val="99"/>
    <w:rPr>
      <w:b/>
      <w:bCs/>
    </w:rPr>
  </w:style>
  <w:style w:type="character" w:customStyle="1" w:styleId="52">
    <w:name w:val="批注框文本 字符"/>
    <w:basedOn w:val="22"/>
    <w:link w:val="14"/>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4925</Words>
  <Characters>5048</Characters>
  <Lines>36</Lines>
  <Paragraphs>10</Paragraphs>
  <TotalTime>23</TotalTime>
  <ScaleCrop>false</ScaleCrop>
  <LinksUpToDate>false</LinksUpToDate>
  <CharactersWithSpaces>5051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2024-05-06T01:05:00Z</dcterms:created>
  <dc:creator>钰 张</dc:creator>
  <cp:lastModifiedBy>段池</cp:lastModifiedBy>
  <dcterms:modified xsi:type="dcterms:W3CDTF">2026-03-20T07:32:01Z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1B85290E5BDC43B9965C96EC4123D197_12</vt:lpwstr>
  </property>
</Properties>
</file>