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648AF8">
      <w:pPr>
        <w:widowControl/>
        <w:spacing w:after="0" w:line="360" w:lineRule="auto"/>
        <w:ind w:left="440" w:leftChars="200"/>
        <w:jc w:val="center"/>
        <w:rPr>
          <w:rFonts w:ascii="方正小标宋简体" w:hAnsi="Arial" w:eastAsia="方正小标宋简体" w:cs="Times New Roman"/>
          <w:b/>
          <w:bCs/>
          <w:sz w:val="36"/>
          <w:szCs w:val="36"/>
          <w14:ligatures w14:val="none"/>
        </w:rPr>
      </w:pPr>
      <w:r>
        <w:rPr>
          <w:rFonts w:hint="eastAsia" w:ascii="方正小标宋简体" w:hAnsi="Arial" w:eastAsia="方正小标宋简体" w:cs="Times New Roman"/>
          <w:b/>
          <w:bCs/>
          <w:sz w:val="36"/>
          <w:szCs w:val="36"/>
          <w14:ligatures w14:val="none"/>
        </w:rPr>
        <w:t>商务要求</w:t>
      </w:r>
    </w:p>
    <w:p w14:paraId="782EFE78">
      <w:pPr>
        <w:kinsoku w:val="0"/>
        <w:overflowPunct w:val="0"/>
        <w:autoSpaceDE w:val="0"/>
        <w:autoSpaceDN w:val="0"/>
        <w:spacing w:after="156" w:line="240" w:lineRule="auto"/>
        <w:jc w:val="both"/>
        <w:outlineLvl w:val="0"/>
        <w:rPr>
          <w:rFonts w:hint="eastAsia" w:ascii="方正小标宋简体" w:hAnsi="黑体" w:eastAsia="方正小标宋简体" w:cs="黑体"/>
          <w:bCs/>
          <w:sz w:val="32"/>
          <w:szCs w:val="32"/>
          <w14:ligatures w14:val="none"/>
        </w:rPr>
      </w:pPr>
      <w:r>
        <w:rPr>
          <w:rFonts w:hint="eastAsia" w:ascii="方正小标宋简体" w:hAnsi="黑体" w:eastAsia="方正小标宋简体" w:cs="黑体"/>
          <w:bCs/>
          <w:sz w:val="32"/>
          <w:szCs w:val="32"/>
          <w14:ligatures w14:val="none"/>
        </w:rPr>
        <w:t>包1：石英弹簧相对重力仪</w:t>
      </w:r>
    </w:p>
    <w:p w14:paraId="2B113F03">
      <w:pPr>
        <w:kinsoku w:val="0"/>
        <w:overflowPunct w:val="0"/>
        <w:autoSpaceDE w:val="0"/>
        <w:autoSpaceDN w:val="0"/>
        <w:spacing w:after="156" w:line="240" w:lineRule="auto"/>
        <w:jc w:val="both"/>
        <w:outlineLvl w:val="1"/>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一、技术服务</w:t>
      </w:r>
    </w:p>
    <w:p w14:paraId="4FAB2DCD">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1.设备安装、调试和验收（在合同签订后执行）</w:t>
      </w:r>
    </w:p>
    <w:p w14:paraId="7508FECA">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1.1中标人应在合同生效后的1个月内向采购人提供详细的安装要求及安装计划，并提供技术咨询。设备安装、调试的费用由中标人承担。</w:t>
      </w:r>
    </w:p>
    <w:p w14:paraId="75238C1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6FC2EA6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1.3如果由于仪器本身原因而在10日内调试没有通过，可返厂维修，或更换一套全新的相同型号配置仪器。</w:t>
      </w:r>
    </w:p>
    <w:p w14:paraId="23A788B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1.4返厂维修周期不得超过15天，次数不得超过2次，否则必须更换一套全新的相同型号配置或符合技术性能要求的仪器设备。采购人认定的特殊仪器设备可延长调试时间。</w:t>
      </w:r>
    </w:p>
    <w:p w14:paraId="6D340AA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2.技术培训</w:t>
      </w:r>
    </w:p>
    <w:p w14:paraId="008A6BEA">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2.1设备安装调试完成后，中标人应对采购人用户技术人员进行调试、操作、仪器维护、故障排除等方面的免费现场培训；安装培训时间一般在到货后10天内完成。</w:t>
      </w:r>
    </w:p>
    <w:p w14:paraId="595A943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2.2初级培训：仪器安装调试完，验收前，中标人工程师在现场就仪器的维护、基本操作、日常保养、潜在故障分析等各方面提供2人以上免费初步培训，培训周期不少于5天。</w:t>
      </w:r>
    </w:p>
    <w:p w14:paraId="02F4381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2.3应用培训：在初级培训结束后，待采购人使用一段时间，中标人派遣专门的应用工程师到客户现场进行高级应用培训。2人以上免费培训时间不少于5天，具体培训内容与日期由双方协商确定。</w:t>
      </w:r>
    </w:p>
    <w:p w14:paraId="6E191F0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3.保修期</w:t>
      </w:r>
    </w:p>
    <w:p w14:paraId="54C72FDF">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3.1</w:t>
      </w:r>
      <w:r>
        <w:rPr>
          <w:rFonts w:hint="eastAsia" w:ascii="仿宋_GB2312" w:hAnsi="宋体" w:eastAsia="仿宋_GB2312" w:cs="方正仿宋_GB2312"/>
          <w:sz w:val="32"/>
          <w:szCs w:val="32"/>
          <w:highlight w:val="yellow"/>
          <w14:ligatures w14:val="none"/>
        </w:rPr>
        <w:t>提供不低于24个月的整机免费保修</w:t>
      </w:r>
      <w:r>
        <w:rPr>
          <w:rFonts w:hint="eastAsia" w:ascii="仿宋_GB2312" w:hAnsi="宋体" w:eastAsia="仿宋_GB2312" w:cs="方正仿宋_GB2312"/>
          <w:sz w:val="32"/>
          <w:szCs w:val="32"/>
          <w14:ligatures w14:val="none"/>
        </w:rPr>
        <w:t>，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78846BE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0B2D753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4.中标人提供终身维修服务</w:t>
      </w:r>
    </w:p>
    <w:p w14:paraId="69F653E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29FCF8F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4.2过保修期后配件、耗材按不高于市场价的7折提供。</w:t>
      </w:r>
    </w:p>
    <w:p w14:paraId="68E7085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5.维修响应时间</w:t>
      </w:r>
    </w:p>
    <w:p w14:paraId="02380D2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3B5D94A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6.维修质量</w:t>
      </w:r>
    </w:p>
    <w:p w14:paraId="101D358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6.1要求中标人在中国境内设有具有合格资质的固定维修站（如为进口产品，则有经过生产厂家授权的具有合格资质的固定维修站），并配有专业维修工程师，保证提供及时优质的售后服务。生产厂家在中国具有备件库，它将包含设备重要的备品备件，一般在备件库中储备的配件问题在7个工作日内解决，如需要由海外总厂或海外备件中心空运零配件，交货时间不得超过28天。采购人有权要求误期赔偿费，每天赔偿费按该中标仪器故障出现前6个月的平均日工作量对应价值计收，直至交货为止。</w:t>
      </w:r>
    </w:p>
    <w:p w14:paraId="4B9A1DA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7.软件升级</w:t>
      </w:r>
    </w:p>
    <w:p w14:paraId="72708BA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7.1在硬件支持的前提下，终身免费为采购人用户提供软件升级服务。</w:t>
      </w:r>
    </w:p>
    <w:p w14:paraId="62AB36ED">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8.提供设备装配总图、部件装配图、中文操作使用手册、中文维护手册、相关的软件备份、电气原理图、接线图等全套图纸资料随机一同交付，提供完整的产品出厂验收说明书。</w:t>
      </w:r>
    </w:p>
    <w:p w14:paraId="5D66FC3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9.验收</w:t>
      </w:r>
    </w:p>
    <w:p w14:paraId="52E77757">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14DA33E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204E81A">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9.3 验收期限：仪器安装、调试、培训完毕后正常试运行1个月，之后组织预验收（档案验收+技术指标验收）和现场综合验收。中标人应派相关人员参加并协助采购人进行验收，验收流程与方法按采购人的规定执行。</w:t>
      </w:r>
    </w:p>
    <w:p w14:paraId="6148EB1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9.4 在采购人对主机、附件、软件的性能和功能进行测试合格基础上，由采购人授权人签字验收。</w:t>
      </w:r>
    </w:p>
    <w:p w14:paraId="45707DD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10.其他要求</w:t>
      </w:r>
    </w:p>
    <w:p w14:paraId="0797A34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所有投标人必须提供技术成熟的定型产品，不接受通过改造才能达标的产品，不接受目前尚处于开发、设计、研制或试验阶段的产品。</w:t>
      </w:r>
    </w:p>
    <w:p w14:paraId="5F609BC9">
      <w:pPr>
        <w:kinsoku w:val="0"/>
        <w:overflowPunct w:val="0"/>
        <w:autoSpaceDE w:val="0"/>
        <w:autoSpaceDN w:val="0"/>
        <w:spacing w:after="156" w:line="240" w:lineRule="auto"/>
        <w:jc w:val="both"/>
        <w:outlineLvl w:val="1"/>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二、包装要求及运输方式</w:t>
      </w:r>
    </w:p>
    <w:p w14:paraId="18454D8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35BD0AC4">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2.在未收货前，货物保管、安全均由中标人负责。</w:t>
      </w:r>
    </w:p>
    <w:p w14:paraId="3052D44D">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3.提供的产品须为全新原装正品，相关配套附件质量优良，数量齐全。</w:t>
      </w:r>
    </w:p>
    <w:p w14:paraId="74A7524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4.中标人需注明仪器设备的免费上门质保期限和具体的维修保障内容。在质保期满后，中标人应提供终身上门维修保养且仅收取成本费，并在标书中标明上门维修保养的费用。</w:t>
      </w:r>
    </w:p>
    <w:p w14:paraId="520D6D5A">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5.采购人使用该设备的任何一部分，当受第三方提出的侵犯其专利权、商标权或工业设计权的投诉时，一切后果由中标人负责。</w:t>
      </w:r>
    </w:p>
    <w:p w14:paraId="6828E8A4">
      <w:pPr>
        <w:kinsoku w:val="0"/>
        <w:overflowPunct w:val="0"/>
        <w:autoSpaceDE w:val="0"/>
        <w:autoSpaceDN w:val="0"/>
        <w:spacing w:after="156" w:line="240" w:lineRule="auto"/>
        <w:jc w:val="both"/>
        <w:outlineLvl w:val="1"/>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三、付款方式与交货</w:t>
      </w:r>
    </w:p>
    <w:p w14:paraId="0471B85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1.采购进口产品项目付款周期及比例：</w:t>
      </w:r>
    </w:p>
    <w:p w14:paraId="19B9B68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项目进口设备部分：100%信用证（80%凭报关单支付，20%验收合格后支付）。项目国内供货部分：货到甲方指定地点并经验收合格后次日起5个工作日内，凭乙方向甲方开具的增值税专用发票（含货物明细清单），由外贸代理公司代甲方向乙方支付货款     元。</w:t>
      </w:r>
    </w:p>
    <w:p w14:paraId="049B1EA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2.采购非进口产品项目支付周期及比例：</w:t>
      </w:r>
    </w:p>
    <w:p w14:paraId="4DF2969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合同签订后7个工作日内，甲方支付合同金额30%作预付款；货到甲方指定地点并经验收合格后5个工作日内，乙方应向甲方账户缴纳合同金额5%作履约质保金后，甲方凭借乙方开具的增值税专用发票，向乙方支付70%货款。履约质保金在验收合格之日起1年后退回，履约质保金不计利息。</w:t>
      </w:r>
    </w:p>
    <w:p w14:paraId="6E88477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3.交货时间：</w:t>
      </w:r>
    </w:p>
    <w:p w14:paraId="7D29AE6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ascii="仿宋_GB2312" w:hAnsi="宋体" w:eastAsia="仿宋_GB2312" w:cs="方正仿宋_GB2312"/>
          <w:sz w:val="32"/>
          <w:szCs w:val="32"/>
          <w14:ligatures w14:val="none"/>
        </w:rPr>
        <w:t>3.</w:t>
      </w:r>
      <w:r>
        <w:rPr>
          <w:rFonts w:hint="eastAsia" w:ascii="仿宋_GB2312" w:hAnsi="宋体" w:eastAsia="仿宋_GB2312" w:cs="方正仿宋_GB2312"/>
          <w:sz w:val="32"/>
          <w:szCs w:val="32"/>
          <w14:ligatures w14:val="none"/>
        </w:rPr>
        <w:t>1合同签订后10个月内须将货送至甲方指定的地点，乙方逾期交付货物或逾期完成安装调试的，每逾期一天，须按合同总金额的万分之【十】支付逾期履行违约金。有下列情形之一的，甲方有权解除本合同：</w:t>
      </w:r>
    </w:p>
    <w:p w14:paraId="4314F5C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（1）乙方迟延交付货物或迟延完成安装调试，累计逾期达到【10】日的；</w:t>
      </w:r>
    </w:p>
    <w:p w14:paraId="16264C2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（2）乙方截至【2026】年【9】月【10】日仍未交付完毕全部货物的。</w:t>
      </w:r>
    </w:p>
    <w:p w14:paraId="5643709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甲方解除本合同的，乙方须全额退还甲方已支付的款项，并自甲方支付之日起至乙方退还之日止，按照本合同签订之日的贷款市场报价利率（LPR）的【2】倍赔偿甲方资金占用损失。（此条如与合同文本有歧义冲突的，以本条为准。）</w:t>
      </w:r>
    </w:p>
    <w:p w14:paraId="7443528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ascii="仿宋_GB2312" w:hAnsi="宋体" w:eastAsia="仿宋_GB2312" w:cs="方正仿宋_GB2312"/>
          <w:sz w:val="32"/>
          <w:szCs w:val="32"/>
          <w14:ligatures w14:val="none"/>
        </w:rPr>
        <w:t>3.</w:t>
      </w:r>
      <w:r>
        <w:rPr>
          <w:rFonts w:hint="eastAsia" w:ascii="仿宋_GB2312" w:hAnsi="宋体" w:eastAsia="仿宋_GB2312" w:cs="方正仿宋_GB2312"/>
          <w:sz w:val="32"/>
          <w:szCs w:val="32"/>
          <w14:ligatures w14:val="none"/>
        </w:rPr>
        <w:t>2乙方交付的货物未通过甲方验收的，甲方有权解除本合同，乙方应当自合同解除之日起【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p>
    <w:p w14:paraId="55C2FB8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4.交货内容</w:t>
      </w:r>
    </w:p>
    <w:p w14:paraId="34388A9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4.1设备主件及附件。</w:t>
      </w:r>
    </w:p>
    <w:p w14:paraId="782A8CB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4.2设备各种资料，包括提供设备出厂合格证、使用说明书、质量证明文件、装箱单等。</w:t>
      </w:r>
    </w:p>
    <w:p w14:paraId="6B36AB1A">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5.交货时间：合同签订后10个月。</w:t>
      </w:r>
    </w:p>
    <w:p w14:paraId="13642C1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6.交货地点：中南大学潇湘校区地球科学楼239。</w:t>
      </w:r>
    </w:p>
    <w:p w14:paraId="542558BA">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7.投标人应充分考虑本项目资金性质的特殊性和对合同签订的时限要求，在中标结果公告后须立即安排专人与采购人对接合同签定事宜，确保中标后30天内完成合同签定（包括学校内部审核程序（约1天）等必要程序），如确因中标人自身原因延误合同签订，导致合同无法履约或支付，相关后果由中标人自行承担，招标人不承担由此引起的一切后果，包括但不限于中标人在整个投标过程和合同签订过程中产生的一切损失。</w:t>
      </w:r>
    </w:p>
    <w:p w14:paraId="2A0428B9">
      <w:pPr>
        <w:widowControl/>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br w:type="page"/>
      </w:r>
    </w:p>
    <w:p w14:paraId="5F407D40">
      <w:pPr>
        <w:kinsoku w:val="0"/>
        <w:overflowPunct w:val="0"/>
        <w:autoSpaceDE w:val="0"/>
        <w:autoSpaceDN w:val="0"/>
        <w:spacing w:after="156" w:line="240" w:lineRule="auto"/>
        <w:jc w:val="both"/>
        <w:outlineLvl w:val="0"/>
        <w:rPr>
          <w:rFonts w:hint="eastAsia" w:ascii="方正小标宋简体" w:hAnsi="黑体" w:eastAsia="方正小标宋简体" w:cs="黑体"/>
          <w:bCs/>
          <w:sz w:val="32"/>
          <w:szCs w:val="32"/>
          <w14:ligatures w14:val="none"/>
        </w:rPr>
      </w:pPr>
      <w:r>
        <w:rPr>
          <w:rFonts w:hint="eastAsia" w:ascii="方正小标宋简体" w:hAnsi="黑体" w:eastAsia="方正小标宋简体" w:cs="黑体"/>
          <w:bCs/>
          <w:sz w:val="32"/>
          <w:szCs w:val="32"/>
          <w14:ligatures w14:val="none"/>
        </w:rPr>
        <w:t>包2：超高精度陀螺寻北仪</w:t>
      </w:r>
    </w:p>
    <w:p w14:paraId="3C1E0F8B">
      <w:pPr>
        <w:kinsoku w:val="0"/>
        <w:overflowPunct w:val="0"/>
        <w:autoSpaceDE w:val="0"/>
        <w:autoSpaceDN w:val="0"/>
        <w:spacing w:after="156" w:line="240" w:lineRule="auto"/>
        <w:jc w:val="both"/>
        <w:outlineLvl w:val="1"/>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一、技术服务</w:t>
      </w:r>
    </w:p>
    <w:p w14:paraId="684718D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1.设备安装、调试和验收（在合同签订后执行）</w:t>
      </w:r>
    </w:p>
    <w:p w14:paraId="0A91E08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1.1中标人应在合同生效后的1个月内向采购人提供详细的安装要求及安装计划，并提供技术咨询。设备安装、调试的费用由中标人承担。</w:t>
      </w:r>
    </w:p>
    <w:p w14:paraId="195F79C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7ECEAB5D">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1.3如果由于仪器本身原因而在10日内调试没有通过，可返厂维修，或更换一套全新的相同型号配置仪器。</w:t>
      </w:r>
    </w:p>
    <w:p w14:paraId="59910F3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1.4返厂维修周期不得超过15天，次数不得超过2次，否则必须更换一套全新的相同型号配置或符合技术性能要求的仪器设备。采购人认定的特殊仪器设备可延长调试时间。</w:t>
      </w:r>
    </w:p>
    <w:p w14:paraId="2D01715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2.技术培训</w:t>
      </w:r>
    </w:p>
    <w:p w14:paraId="2B6617EF">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2.1设备安装调试完成后，中标人应对采购人用户技术人员进行调试、操作、仪器维护、故障排除等方面的免费现场培训；安装培训时间一般在到货后10天内完成。</w:t>
      </w:r>
    </w:p>
    <w:p w14:paraId="06B0F2EF">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2.2初级培训：仪器安装调试完，验收前，中标人工程师在现场就仪器的维护、基本操作、日常保养、潜在故障分析等各方面提供2人以上免费初步培训，培训周期不少于5天。</w:t>
      </w:r>
    </w:p>
    <w:p w14:paraId="4D647CC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2.3应用培训：在初级培训结束后，待采购人使用一段时间，中标人派遣专门的应用工程师到客户现场进行高级应用培训。2人以上免费培训时间不少于5天，具体培训内容与日期由双方协商确定。</w:t>
      </w:r>
    </w:p>
    <w:p w14:paraId="231318B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3.保修期</w:t>
      </w:r>
    </w:p>
    <w:p w14:paraId="2EA6D53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3.1</w:t>
      </w:r>
      <w:r>
        <w:rPr>
          <w:rFonts w:hint="eastAsia" w:ascii="仿宋_GB2312" w:hAnsi="宋体" w:eastAsia="仿宋_GB2312" w:cs="方正仿宋_GB2312"/>
          <w:sz w:val="32"/>
          <w:szCs w:val="32"/>
          <w:highlight w:val="yellow"/>
          <w14:ligatures w14:val="none"/>
        </w:rPr>
        <w:t>提供不低于24个月的整机免费保修</w:t>
      </w:r>
      <w:r>
        <w:rPr>
          <w:rFonts w:hint="eastAsia" w:ascii="仿宋_GB2312" w:hAnsi="宋体" w:eastAsia="仿宋_GB2312" w:cs="方正仿宋_GB2312"/>
          <w:sz w:val="32"/>
          <w:szCs w:val="32"/>
          <w14:ligatures w14:val="none"/>
        </w:rPr>
        <w:t>，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514F023D">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F15B4C7">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4.中标人提供终身维修服务</w:t>
      </w:r>
    </w:p>
    <w:p w14:paraId="5EC50F3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48E63B9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4.2过保修期后配件、耗材按不高于市场价的7折提供。</w:t>
      </w:r>
    </w:p>
    <w:p w14:paraId="43885AE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5.维修响应时间</w:t>
      </w:r>
    </w:p>
    <w:p w14:paraId="611359D4">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3E6A1007">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6.维修质量</w:t>
      </w:r>
    </w:p>
    <w:p w14:paraId="05F5B99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6.1要求中标人在中国境内设有具有合格资质的固定维修站（如为进口产品，则有经过生产厂家授权的具有合格资质的固定维修站），并配有专业维修工程师，保证提供及时优质的售后服务。生产厂家在中国具有备件库，它将包含设备重要的备品备件，一般在备件库中储备的配件问题在7个工作日内解决，如需要由海外总厂或海外备件中心空运零配件，交货时间不得超过28天。采购人有权要求误期赔偿费，每天赔偿费按该中标仪器故障出现前6个月的平均日工作量对应价值计收，直至交货为止。</w:t>
      </w:r>
    </w:p>
    <w:p w14:paraId="3EDE39B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7.软件升级</w:t>
      </w:r>
    </w:p>
    <w:p w14:paraId="6E58E31D">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7.1在硬件支持的前提下，终身免费为采购人用户提供软件升级服务。</w:t>
      </w:r>
    </w:p>
    <w:p w14:paraId="630DD43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8.提供设备装配总图、部件装配图、中文操作使用手册、中文维护手册、相关的软件备份、电气原理图、接线图等全套图纸资料随机一同交付，提供完整的产品出厂验收说明书。</w:t>
      </w:r>
    </w:p>
    <w:p w14:paraId="2493CFA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9.验收</w:t>
      </w:r>
    </w:p>
    <w:p w14:paraId="5591E294">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AE285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2C4EBD5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9.3 验收期限：仪器安装、调试、培训完毕后正常试运行1个月，之后组织预验收（档案验收+技术指标验收）和现场综合验收。中标人应派相关人员参加并协助采购人进行验收，验收流程与方法按采购人的规定执行。</w:t>
      </w:r>
    </w:p>
    <w:p w14:paraId="63C298B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9.4 在采购人对主机、附件、软件的性能和功能进行测试合格基础上，由采购人授权人签字验收。</w:t>
      </w:r>
    </w:p>
    <w:p w14:paraId="3B6A2DE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10.其他要求</w:t>
      </w:r>
    </w:p>
    <w:p w14:paraId="736ED27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所有投标人必须提供技术成熟的定型产品，不接受通过改造才能达标的产品，不接受目前尚处于开发、设计、研制或试验阶段的产品。</w:t>
      </w:r>
    </w:p>
    <w:p w14:paraId="7D8C6B14">
      <w:pPr>
        <w:kinsoku w:val="0"/>
        <w:overflowPunct w:val="0"/>
        <w:autoSpaceDE w:val="0"/>
        <w:autoSpaceDN w:val="0"/>
        <w:spacing w:after="156" w:line="240" w:lineRule="auto"/>
        <w:jc w:val="both"/>
        <w:outlineLvl w:val="1"/>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二、包装要求及运输方式</w:t>
      </w:r>
    </w:p>
    <w:p w14:paraId="0EF4CE4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09A8F4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2.在未收货前，货物保管、安全均由中标人负责。</w:t>
      </w:r>
    </w:p>
    <w:p w14:paraId="24775895">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3.提供的产品须为全新原装正品，相关配套附件质量优良，数量齐全。</w:t>
      </w:r>
    </w:p>
    <w:p w14:paraId="118E120A">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4.中标人需注明仪器设备的免费上门质保期限和具体的维修保障内容。在质保期满后，中标人应提供终身上门维修保养且仅收取成本费，并在标书中标明上门维修保养的费用。</w:t>
      </w:r>
    </w:p>
    <w:p w14:paraId="1256CF2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5.采购人使用该设备的任何一部分，当受第三方提出的侵犯其专利权、商标权或工业设计权的投诉时，一切后果由中标人负责。</w:t>
      </w:r>
    </w:p>
    <w:p w14:paraId="27566DAE">
      <w:pPr>
        <w:kinsoku w:val="0"/>
        <w:overflowPunct w:val="0"/>
        <w:autoSpaceDE w:val="0"/>
        <w:autoSpaceDN w:val="0"/>
        <w:spacing w:after="156" w:line="240" w:lineRule="auto"/>
        <w:jc w:val="both"/>
        <w:outlineLvl w:val="1"/>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三、付款方式与交货</w:t>
      </w:r>
    </w:p>
    <w:p w14:paraId="57D6946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合同签订后7个工作日内，甲方支付合同金额30%作预付款；货到甲方指定地点并经验收合格后5个工作日内，乙方应向甲方账户缴纳合同金额5%作履约质保金后，甲方凭借乙方开具的增值税专用发票，向乙方支付70%货款。履约质保金在验收合格之日起1年后退回，履约质保金不计利息。</w:t>
      </w:r>
    </w:p>
    <w:p w14:paraId="5E072534">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3.交货时间：</w:t>
      </w:r>
    </w:p>
    <w:p w14:paraId="532B1F2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ascii="仿宋_GB2312" w:hAnsi="宋体" w:eastAsia="仿宋_GB2312" w:cs="方正仿宋_GB2312"/>
          <w:sz w:val="32"/>
          <w:szCs w:val="32"/>
          <w14:ligatures w14:val="none"/>
        </w:rPr>
        <w:t>3.</w:t>
      </w:r>
      <w:r>
        <w:rPr>
          <w:rFonts w:hint="eastAsia" w:ascii="仿宋_GB2312" w:hAnsi="宋体" w:eastAsia="仿宋_GB2312" w:cs="方正仿宋_GB2312"/>
          <w:sz w:val="32"/>
          <w:szCs w:val="32"/>
          <w14:ligatures w14:val="none"/>
        </w:rPr>
        <w:t>1合同签订后4个月内须将货送至甲方指定的地点，乙方逾期交付货物或逾期完成安装调试的，每逾期一天，须按合同总金额的万分之【十】支付逾期履行违约金。有下列情形之一的，甲方有权解除本合同：</w:t>
      </w:r>
    </w:p>
    <w:p w14:paraId="3857A85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（1）乙方迟延交付货物或迟延完成安装调试，累计逾期达到【10】日的；</w:t>
      </w:r>
    </w:p>
    <w:p w14:paraId="15E0C9ED">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（2）乙方截至【2026】年【9】月【10】日仍未交付完毕全部货物的。</w:t>
      </w:r>
    </w:p>
    <w:p w14:paraId="6BAF39C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甲方解除本合同的，乙方须全额退还甲方已支付的款项，并自甲方支付之日起至乙方退还之日止，按照本合同签订之日的贷款市场报价利率（LPR）的【2】倍赔偿甲方资金占用损失。（此条如与合同文本有歧义冲突的，以本条为准。）</w:t>
      </w:r>
    </w:p>
    <w:p w14:paraId="3C4949D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ascii="仿宋_GB2312" w:hAnsi="宋体" w:eastAsia="仿宋_GB2312" w:cs="方正仿宋_GB2312"/>
          <w:sz w:val="32"/>
          <w:szCs w:val="32"/>
          <w14:ligatures w14:val="none"/>
        </w:rPr>
        <w:t>3.</w:t>
      </w:r>
      <w:r>
        <w:rPr>
          <w:rFonts w:hint="eastAsia" w:ascii="仿宋_GB2312" w:hAnsi="宋体" w:eastAsia="仿宋_GB2312" w:cs="方正仿宋_GB2312"/>
          <w:sz w:val="32"/>
          <w:szCs w:val="32"/>
          <w14:ligatures w14:val="none"/>
        </w:rPr>
        <w:t>2乙方交付的货物未通过甲方验收的，甲方有权解除本合同，乙方应当自合同解除之日起【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p>
    <w:p w14:paraId="62A3556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4.交货内容</w:t>
      </w:r>
    </w:p>
    <w:p w14:paraId="2F108AD7">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4.1设备主件及附件。</w:t>
      </w:r>
    </w:p>
    <w:p w14:paraId="28AB30F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4.2设备各种资料，包括提供设备出厂合格证、使用说明书、质量证明文件、装箱单等。</w:t>
      </w:r>
    </w:p>
    <w:p w14:paraId="4A81A1C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5.交货时间：合同签订后4个月。</w:t>
      </w:r>
    </w:p>
    <w:p w14:paraId="6A27744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6.交货地点：中南大学潇湘校区地球科学楼239。</w:t>
      </w:r>
    </w:p>
    <w:p w14:paraId="06A3C73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7.</w:t>
      </w:r>
      <w:bookmarkStart w:id="0" w:name="_GoBack"/>
      <w:bookmarkEnd w:id="0"/>
      <w:r>
        <w:rPr>
          <w:rFonts w:hint="eastAsia" w:ascii="仿宋_GB2312" w:hAnsi="宋体" w:eastAsia="仿宋_GB2312" w:cs="方正仿宋_GB2312"/>
          <w:sz w:val="32"/>
          <w:szCs w:val="32"/>
          <w14:ligatures w14:val="none"/>
        </w:rPr>
        <w:t>投标人应充分考虑本项目资金性质的特殊性和对合同签订的时限要求，在中标结果公告后须立即安排专人与采购人对接合同签定事宜，确保中标后30天内完成合同签定（包括学校内部审核程序（约1天）等必要程序），如确因中标人自身原因延误合同签订，导致合同无法履约或支付，相关后果由中标人自行承担，招标人不承担由此引起的一切后果，包括但不限于中标人在整个投标过程和合同签订过程中产生的一切损失。</w:t>
      </w:r>
    </w:p>
    <w:p w14:paraId="3FB35E9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2010601030101010101"/>
    <w:charset w:val="86"/>
    <w:family w:val="script"/>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仿宋_GB2312">
    <w:altName w:val="仿宋"/>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F09"/>
    <w:rsid w:val="000642F1"/>
    <w:rsid w:val="000918B2"/>
    <w:rsid w:val="00151D39"/>
    <w:rsid w:val="00196DCF"/>
    <w:rsid w:val="0022094D"/>
    <w:rsid w:val="00254417"/>
    <w:rsid w:val="002C1DEB"/>
    <w:rsid w:val="003610C5"/>
    <w:rsid w:val="003A697E"/>
    <w:rsid w:val="003C4B06"/>
    <w:rsid w:val="004624C0"/>
    <w:rsid w:val="00531385"/>
    <w:rsid w:val="005908FC"/>
    <w:rsid w:val="00616FDC"/>
    <w:rsid w:val="00642028"/>
    <w:rsid w:val="00671C94"/>
    <w:rsid w:val="006B7190"/>
    <w:rsid w:val="007E287C"/>
    <w:rsid w:val="00851512"/>
    <w:rsid w:val="008670C3"/>
    <w:rsid w:val="008B6A10"/>
    <w:rsid w:val="00B25CD8"/>
    <w:rsid w:val="00BD715C"/>
    <w:rsid w:val="00C94F09"/>
    <w:rsid w:val="00D36979"/>
    <w:rsid w:val="00D72029"/>
    <w:rsid w:val="00E30839"/>
    <w:rsid w:val="00E53E08"/>
    <w:rsid w:val="00F6331C"/>
    <w:rsid w:val="00F85EA0"/>
    <w:rsid w:val="00FA1853"/>
    <w:rsid w:val="00FF5F83"/>
    <w:rsid w:val="7D342B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6"/>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7"/>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41"/>
    <w:semiHidden/>
    <w:unhideWhenUsed/>
    <w:qFormat/>
    <w:uiPriority w:val="99"/>
  </w:style>
  <w:style w:type="paragraph" w:styleId="12">
    <w:name w:val="Balloon Text"/>
    <w:basedOn w:val="1"/>
    <w:link w:val="43"/>
    <w:semiHidden/>
    <w:unhideWhenUsed/>
    <w:qFormat/>
    <w:uiPriority w:val="99"/>
    <w:pPr>
      <w:spacing w:after="0" w:line="240" w:lineRule="auto"/>
    </w:pPr>
    <w:rPr>
      <w:sz w:val="18"/>
      <w:szCs w:val="18"/>
    </w:rPr>
  </w:style>
  <w:style w:type="paragraph" w:styleId="13">
    <w:name w:val="footer"/>
    <w:basedOn w:val="1"/>
    <w:link w:val="40"/>
    <w:unhideWhenUsed/>
    <w:uiPriority w:val="99"/>
    <w:pPr>
      <w:tabs>
        <w:tab w:val="center" w:pos="4153"/>
        <w:tab w:val="right" w:pos="8306"/>
      </w:tabs>
      <w:snapToGrid w:val="0"/>
      <w:spacing w:line="240" w:lineRule="auto"/>
    </w:pPr>
    <w:rPr>
      <w:sz w:val="18"/>
      <w:szCs w:val="18"/>
    </w:rPr>
  </w:style>
  <w:style w:type="paragraph" w:styleId="14">
    <w:name w:val="header"/>
    <w:basedOn w:val="1"/>
    <w:link w:val="39"/>
    <w:unhideWhenUsed/>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5">
    <w:name w:val="Subtitle"/>
    <w:basedOn w:val="1"/>
    <w:next w:val="1"/>
    <w:link w:val="31"/>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30"/>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17">
    <w:name w:val="annotation subject"/>
    <w:basedOn w:val="11"/>
    <w:next w:val="11"/>
    <w:link w:val="42"/>
    <w:semiHidden/>
    <w:unhideWhenUsed/>
    <w:qFormat/>
    <w:uiPriority w:val="99"/>
    <w:rPr>
      <w:b/>
      <w:bCs/>
    </w:rPr>
  </w:style>
  <w:style w:type="character" w:styleId="20">
    <w:name w:val="annotation reference"/>
    <w:basedOn w:val="19"/>
    <w:semiHidden/>
    <w:unhideWhenUsed/>
    <w:qFormat/>
    <w:uiPriority w:val="99"/>
    <w:rPr>
      <w:sz w:val="21"/>
      <w:szCs w:val="21"/>
    </w:rPr>
  </w:style>
  <w:style w:type="character" w:customStyle="1" w:styleId="21">
    <w:name w:val="标题 1 字符"/>
    <w:basedOn w:val="19"/>
    <w:link w:val="2"/>
    <w:qFormat/>
    <w:uiPriority w:val="9"/>
    <w:rPr>
      <w:rFonts w:asciiTheme="majorHAnsi" w:hAnsiTheme="majorHAnsi" w:eastAsiaTheme="majorEastAsia" w:cstheme="majorBidi"/>
      <w:color w:val="104862" w:themeColor="accent1" w:themeShade="BF"/>
      <w:sz w:val="48"/>
      <w:szCs w:val="48"/>
    </w:rPr>
  </w:style>
  <w:style w:type="character" w:customStyle="1" w:styleId="22">
    <w:name w:val="标题 2 字符"/>
    <w:basedOn w:val="19"/>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3">
    <w:name w:val="标题 3 字符"/>
    <w:basedOn w:val="19"/>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4">
    <w:name w:val="标题 4 字符"/>
    <w:basedOn w:val="19"/>
    <w:link w:val="5"/>
    <w:semiHidden/>
    <w:uiPriority w:val="9"/>
    <w:rPr>
      <w:rFonts w:cstheme="majorBidi"/>
      <w:color w:val="104862" w:themeColor="accent1" w:themeShade="BF"/>
      <w:sz w:val="28"/>
      <w:szCs w:val="28"/>
    </w:rPr>
  </w:style>
  <w:style w:type="character" w:customStyle="1" w:styleId="25">
    <w:name w:val="标题 5 字符"/>
    <w:basedOn w:val="19"/>
    <w:link w:val="6"/>
    <w:semiHidden/>
    <w:uiPriority w:val="9"/>
    <w:rPr>
      <w:rFonts w:cstheme="majorBidi"/>
      <w:color w:val="104862" w:themeColor="accent1" w:themeShade="BF"/>
      <w:sz w:val="24"/>
    </w:rPr>
  </w:style>
  <w:style w:type="character" w:customStyle="1" w:styleId="26">
    <w:name w:val="标题 6 字符"/>
    <w:basedOn w:val="19"/>
    <w:link w:val="7"/>
    <w:semiHidden/>
    <w:qFormat/>
    <w:uiPriority w:val="9"/>
    <w:rPr>
      <w:rFonts w:cstheme="majorBidi"/>
      <w:b/>
      <w:bCs/>
      <w:color w:val="104862" w:themeColor="accent1" w:themeShade="BF"/>
    </w:rPr>
  </w:style>
  <w:style w:type="character" w:customStyle="1" w:styleId="27">
    <w:name w:val="标题 7 字符"/>
    <w:basedOn w:val="19"/>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9"/>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9"/>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9"/>
    <w:link w:val="16"/>
    <w:uiPriority w:val="10"/>
    <w:rPr>
      <w:rFonts w:asciiTheme="majorHAnsi" w:hAnsiTheme="majorHAnsi" w:eastAsiaTheme="majorEastAsia" w:cstheme="majorBidi"/>
      <w:spacing w:val="-10"/>
      <w:kern w:val="28"/>
      <w:sz w:val="56"/>
      <w:szCs w:val="56"/>
    </w:rPr>
  </w:style>
  <w:style w:type="character" w:customStyle="1" w:styleId="31">
    <w:name w:val="副标题 字符"/>
    <w:basedOn w:val="19"/>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9"/>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9"/>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19"/>
    <w:link w:val="36"/>
    <w:qFormat/>
    <w:uiPriority w:val="30"/>
    <w:rPr>
      <w:i/>
      <w:iCs/>
      <w:color w:val="104862" w:themeColor="accent1" w:themeShade="BF"/>
    </w:rPr>
  </w:style>
  <w:style w:type="character" w:customStyle="1" w:styleId="38">
    <w:name w:val="Intense Reference"/>
    <w:basedOn w:val="19"/>
    <w:qFormat/>
    <w:uiPriority w:val="32"/>
    <w:rPr>
      <w:b/>
      <w:bCs/>
      <w:smallCaps/>
      <w:color w:val="104862" w:themeColor="accent1" w:themeShade="BF"/>
      <w:spacing w:val="5"/>
    </w:rPr>
  </w:style>
  <w:style w:type="character" w:customStyle="1" w:styleId="39">
    <w:name w:val="页眉 字符"/>
    <w:basedOn w:val="19"/>
    <w:link w:val="14"/>
    <w:qFormat/>
    <w:uiPriority w:val="99"/>
    <w:rPr>
      <w:sz w:val="18"/>
      <w:szCs w:val="18"/>
    </w:rPr>
  </w:style>
  <w:style w:type="character" w:customStyle="1" w:styleId="40">
    <w:name w:val="页脚 字符"/>
    <w:basedOn w:val="19"/>
    <w:link w:val="13"/>
    <w:qFormat/>
    <w:uiPriority w:val="99"/>
    <w:rPr>
      <w:sz w:val="18"/>
      <w:szCs w:val="18"/>
    </w:rPr>
  </w:style>
  <w:style w:type="character" w:customStyle="1" w:styleId="41">
    <w:name w:val="批注文字 字符"/>
    <w:basedOn w:val="19"/>
    <w:link w:val="11"/>
    <w:semiHidden/>
    <w:qFormat/>
    <w:uiPriority w:val="99"/>
  </w:style>
  <w:style w:type="character" w:customStyle="1" w:styleId="42">
    <w:name w:val="批注主题 字符"/>
    <w:basedOn w:val="41"/>
    <w:link w:val="17"/>
    <w:semiHidden/>
    <w:qFormat/>
    <w:uiPriority w:val="99"/>
    <w:rPr>
      <w:b/>
      <w:bCs/>
    </w:rPr>
  </w:style>
  <w:style w:type="character" w:customStyle="1" w:styleId="43">
    <w:name w:val="批注框文本 字符"/>
    <w:basedOn w:val="19"/>
    <w:link w:val="1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14</Pages>
  <Words>6404</Words>
  <Characters>6591</Characters>
  <Lines>47</Lines>
  <Paragraphs>13</Paragraphs>
  <TotalTime>0</TotalTime>
  <ScaleCrop>false</ScaleCrop>
  <LinksUpToDate>false</LinksUpToDate>
  <CharactersWithSpaces>6608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2025-12-18T01:19:00Z</dcterms:created>
  <dc:creator>Yan Zhu</dc:creator>
  <cp:lastModifiedBy>文凯</cp:lastModifiedBy>
  <dcterms:modified xsi:type="dcterms:W3CDTF">2025-12-19T05:29:52Z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eyJoZGlkIjoiZmMwODZkNjUyNjljNjlmZmIyYzQ4Y2UwYmM1OWEwODMiLCJ1c2VySWQiOiIxMDQ3NDQzNDk5In0=</vt:lpwstr>
  </property>
  <property fmtid="{D5CDD505-2E9C-101B-9397-08002B2CF9AE}" pid="3" name="KSOProductBuildVer">
    <vt:lpwstr>2052-12.1.0.21541</vt:lpwstr>
  </property>
  <property fmtid="{D5CDD505-2E9C-101B-9397-08002B2CF9AE}" pid="4" name="ICV">
    <vt:lpwstr>92B5A35D022F415AB016726B5EFF6622_12</vt:lpwstr>
  </property>
</Properties>
</file>