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39680">
      <w:pPr>
        <w:spacing w:line="360" w:lineRule="auto"/>
        <w:jc w:val="center"/>
        <w:rPr>
          <w:rFonts w:ascii="Times New Roman" w:hAnsi="Times New Roman" w:eastAsia="黑体" w:cs="Times New Roman"/>
          <w:sz w:val="36"/>
          <w:szCs w:val="36"/>
        </w:rPr>
      </w:pPr>
      <w:r>
        <w:rPr>
          <w:rFonts w:ascii="Times New Roman" w:hAnsi="Times New Roman" w:eastAsia="黑体" w:cs="Times New Roman"/>
          <w:sz w:val="36"/>
          <w:szCs w:val="36"/>
        </w:rPr>
        <w:t>技术要求-技术参数部分</w:t>
      </w:r>
    </w:p>
    <w:p w14:paraId="05718A8A">
      <w:pPr>
        <w:spacing w:line="360" w:lineRule="auto"/>
        <w:ind w:firstLine="480" w:firstLineChars="200"/>
        <w:jc w:val="left"/>
        <w:rPr>
          <w:rFonts w:ascii="Times New Roman" w:hAnsi="Times New Roman" w:eastAsia="黑体" w:cs="Times New Roman"/>
          <w:sz w:val="24"/>
        </w:rPr>
      </w:pPr>
      <w:r>
        <w:rPr>
          <w:rFonts w:ascii="Times New Roman" w:hAnsi="Times New Roman" w:eastAsia="黑体" w:cs="Times New Roman"/>
          <w:sz w:val="24"/>
        </w:rPr>
        <w:t>一、采购需求符合的标准</w:t>
      </w:r>
    </w:p>
    <w:p w14:paraId="6FDC8208">
      <w:pPr>
        <w:pStyle w:val="14"/>
        <w:ind w:firstLine="480" w:firstLineChars="200"/>
        <w:jc w:val="both"/>
        <w:rPr>
          <w:rFonts w:hint="eastAsia" w:ascii="仿宋" w:hAnsi="仿宋" w:eastAsia="仿宋" w:cs="仿宋"/>
        </w:rPr>
      </w:pPr>
      <w:r>
        <w:rPr>
          <w:rFonts w:hint="eastAsia" w:ascii="仿宋" w:hAnsi="仿宋" w:eastAsia="仿宋" w:cs="仿宋"/>
        </w:rPr>
        <w:t>本装置研制、生产、验收全过程需符合国家及行业相关标准规范，核心遵循以下要求，未明确部分按国家现行最新工程建设、仪器设备制造类标准执行：《机械工程焊接工艺规程》GB/T 19866-2021；《自动化仪表工程施工及质量验收规范》GB 50093-2013；《工业自动化仪表用气源压力范围和质量》GB/T 4830-2015；《传感器通用技术条件》GB/T 7665-2015；《低压电器外壳防护等级》GB/T 4942.2-2013；《流体输送用不锈钢无缝钢管》GB/T 14976-2012。</w:t>
      </w:r>
    </w:p>
    <w:p w14:paraId="79756C0E">
      <w:pPr>
        <w:spacing w:line="360" w:lineRule="auto"/>
        <w:ind w:firstLine="480" w:firstLineChars="200"/>
        <w:jc w:val="left"/>
        <w:rPr>
          <w:rFonts w:ascii="Times New Roman" w:hAnsi="Times New Roman" w:eastAsia="黑体" w:cs="Times New Roman"/>
          <w:sz w:val="24"/>
        </w:rPr>
      </w:pPr>
      <w:r>
        <w:rPr>
          <w:rFonts w:ascii="Times New Roman" w:hAnsi="Times New Roman" w:eastAsia="黑体" w:cs="Times New Roman"/>
          <w:sz w:val="24"/>
        </w:rPr>
        <w:t>二、技术</w:t>
      </w:r>
      <w:r>
        <w:rPr>
          <w:rFonts w:hint="eastAsia" w:ascii="Times New Roman" w:hAnsi="Times New Roman" w:eastAsia="黑体" w:cs="Times New Roman"/>
          <w:sz w:val="24"/>
        </w:rPr>
        <w:t>参数</w:t>
      </w:r>
      <w:r>
        <w:rPr>
          <w:rFonts w:ascii="Times New Roman" w:hAnsi="Times New Roman" w:eastAsia="黑体" w:cs="Times New Roman"/>
          <w:sz w:val="24"/>
        </w:rPr>
        <w:t>要求</w:t>
      </w:r>
    </w:p>
    <w:p w14:paraId="328BD3EE">
      <w:pPr>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多热源矿热协同开采试验系统技术参数要求，如表1所示。</w:t>
      </w:r>
    </w:p>
    <w:p w14:paraId="07DA0F66">
      <w:pPr>
        <w:spacing w:line="360" w:lineRule="auto"/>
        <w:ind w:firstLine="480" w:firstLineChars="200"/>
        <w:jc w:val="center"/>
        <w:rPr>
          <w:rFonts w:hint="eastAsia" w:ascii="仿宋" w:hAnsi="仿宋" w:eastAsia="仿宋" w:cs="仿宋"/>
          <w:kern w:val="0"/>
          <w:sz w:val="24"/>
          <w:szCs w:val="24"/>
        </w:rPr>
      </w:pPr>
      <w:r>
        <w:rPr>
          <w:rFonts w:hint="eastAsia" w:ascii="仿宋" w:hAnsi="仿宋" w:eastAsia="仿宋" w:cs="仿宋"/>
          <w:kern w:val="0"/>
          <w:sz w:val="24"/>
          <w:szCs w:val="24"/>
        </w:rPr>
        <w:t>表1 多热源矿热协同开采试验系统参数要求</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019"/>
        <w:gridCol w:w="1283"/>
        <w:gridCol w:w="5497"/>
      </w:tblGrid>
      <w:tr w14:paraId="0776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4" w:type="pct"/>
            <w:tcBorders>
              <w:top w:val="single" w:color="auto" w:sz="4" w:space="0"/>
              <w:left w:val="single" w:color="auto" w:sz="4" w:space="0"/>
              <w:bottom w:val="single" w:color="auto" w:sz="4" w:space="0"/>
              <w:right w:val="single" w:color="auto" w:sz="4" w:space="0"/>
            </w:tcBorders>
            <w:vAlign w:val="center"/>
          </w:tcPr>
          <w:p w14:paraId="6D3F54A7">
            <w:pPr>
              <w:adjustRightInd w:val="0"/>
              <w:snapToGrid w:val="0"/>
              <w:jc w:val="center"/>
              <w:rPr>
                <w:rFonts w:ascii="Times New Roman" w:hAnsi="Times New Roman" w:eastAsia="仿宋"/>
                <w:szCs w:val="21"/>
              </w:rPr>
            </w:pPr>
            <w:r>
              <w:rPr>
                <w:rFonts w:hint="eastAsia" w:ascii="Times New Roman" w:hAnsi="Times New Roman" w:eastAsia="仿宋"/>
                <w:szCs w:val="21"/>
              </w:rPr>
              <w:t>序号</w:t>
            </w:r>
          </w:p>
        </w:tc>
        <w:tc>
          <w:tcPr>
            <w:tcW w:w="598" w:type="pct"/>
            <w:tcBorders>
              <w:top w:val="single" w:color="auto" w:sz="4" w:space="0"/>
              <w:left w:val="single" w:color="auto" w:sz="4" w:space="0"/>
              <w:bottom w:val="single" w:color="auto" w:sz="4" w:space="0"/>
              <w:right w:val="single" w:color="auto" w:sz="4" w:space="0"/>
            </w:tcBorders>
            <w:vAlign w:val="center"/>
          </w:tcPr>
          <w:p w14:paraId="319F8BD8">
            <w:pPr>
              <w:adjustRightInd w:val="0"/>
              <w:snapToGrid w:val="0"/>
              <w:jc w:val="center"/>
              <w:rPr>
                <w:rFonts w:ascii="Times New Roman" w:hAnsi="Times New Roman" w:eastAsia="仿宋"/>
                <w:szCs w:val="21"/>
              </w:rPr>
            </w:pPr>
            <w:r>
              <w:rPr>
                <w:rFonts w:hint="eastAsia" w:ascii="Times New Roman" w:hAnsi="Times New Roman" w:eastAsia="仿宋"/>
                <w:szCs w:val="21"/>
              </w:rPr>
              <w:t>名称</w:t>
            </w:r>
          </w:p>
        </w:tc>
        <w:tc>
          <w:tcPr>
            <w:tcW w:w="753" w:type="pct"/>
            <w:tcBorders>
              <w:top w:val="single" w:color="auto" w:sz="4" w:space="0"/>
              <w:left w:val="single" w:color="auto" w:sz="4" w:space="0"/>
              <w:bottom w:val="single" w:color="auto" w:sz="4" w:space="0"/>
              <w:right w:val="single" w:color="auto" w:sz="4" w:space="0"/>
            </w:tcBorders>
            <w:vAlign w:val="center"/>
          </w:tcPr>
          <w:p w14:paraId="50C4BD00">
            <w:pPr>
              <w:adjustRightInd w:val="0"/>
              <w:snapToGrid w:val="0"/>
              <w:jc w:val="center"/>
              <w:rPr>
                <w:rFonts w:ascii="Times New Roman" w:hAnsi="Times New Roman" w:eastAsia="仿宋"/>
                <w:szCs w:val="21"/>
              </w:rPr>
            </w:pPr>
            <w:r>
              <w:rPr>
                <w:rFonts w:hint="eastAsia" w:ascii="Times New Roman" w:hAnsi="Times New Roman" w:eastAsia="仿宋"/>
                <w:szCs w:val="21"/>
              </w:rPr>
              <w:t>参数名称</w:t>
            </w:r>
          </w:p>
        </w:tc>
        <w:tc>
          <w:tcPr>
            <w:tcW w:w="3225" w:type="pct"/>
            <w:tcBorders>
              <w:top w:val="single" w:color="auto" w:sz="4" w:space="0"/>
              <w:left w:val="single" w:color="auto" w:sz="4" w:space="0"/>
              <w:bottom w:val="single" w:color="auto" w:sz="4" w:space="0"/>
              <w:right w:val="single" w:color="auto" w:sz="4" w:space="0"/>
            </w:tcBorders>
            <w:vAlign w:val="center"/>
          </w:tcPr>
          <w:p w14:paraId="2693998B">
            <w:pPr>
              <w:adjustRightInd w:val="0"/>
              <w:snapToGrid w:val="0"/>
              <w:jc w:val="center"/>
              <w:rPr>
                <w:rFonts w:ascii="Times New Roman" w:hAnsi="Times New Roman" w:eastAsia="仿宋"/>
                <w:szCs w:val="21"/>
              </w:rPr>
            </w:pPr>
            <w:r>
              <w:rPr>
                <w:rFonts w:hint="eastAsia" w:ascii="Times New Roman" w:hAnsi="Times New Roman" w:eastAsia="仿宋"/>
                <w:szCs w:val="21"/>
              </w:rPr>
              <w:t>参数</w:t>
            </w:r>
          </w:p>
        </w:tc>
      </w:tr>
      <w:tr w14:paraId="69B5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4" w:type="pct"/>
            <w:vMerge w:val="restart"/>
            <w:tcBorders>
              <w:left w:val="single" w:color="auto" w:sz="4" w:space="0"/>
              <w:right w:val="single" w:color="auto" w:sz="4" w:space="0"/>
            </w:tcBorders>
            <w:vAlign w:val="center"/>
          </w:tcPr>
          <w:p w14:paraId="5DFF578D">
            <w:pPr>
              <w:adjustRightInd w:val="0"/>
              <w:snapToGrid w:val="0"/>
              <w:jc w:val="center"/>
              <w:rPr>
                <w:rFonts w:ascii="Times New Roman" w:hAnsi="Times New Roman" w:eastAsia="仿宋"/>
                <w:szCs w:val="21"/>
              </w:rPr>
            </w:pPr>
            <w:r>
              <w:rPr>
                <w:rFonts w:hint="eastAsia" w:ascii="Times New Roman" w:hAnsi="Times New Roman" w:eastAsia="仿宋"/>
                <w:szCs w:val="21"/>
              </w:rPr>
              <w:t>1</w:t>
            </w:r>
          </w:p>
        </w:tc>
        <w:tc>
          <w:tcPr>
            <w:tcW w:w="598" w:type="pct"/>
            <w:vMerge w:val="restart"/>
            <w:tcBorders>
              <w:left w:val="single" w:color="auto" w:sz="4" w:space="0"/>
              <w:right w:val="single" w:color="auto" w:sz="4" w:space="0"/>
            </w:tcBorders>
            <w:vAlign w:val="center"/>
          </w:tcPr>
          <w:p w14:paraId="27CEAF3D">
            <w:pPr>
              <w:adjustRightInd w:val="0"/>
              <w:snapToGrid w:val="0"/>
              <w:jc w:val="center"/>
              <w:rPr>
                <w:rFonts w:ascii="Times New Roman" w:hAnsi="Times New Roman" w:eastAsia="仿宋"/>
                <w:szCs w:val="21"/>
              </w:rPr>
            </w:pPr>
            <w:r>
              <w:rPr>
                <w:rFonts w:ascii="Times New Roman" w:hAnsi="Times New Roman" w:eastAsia="仿宋"/>
                <w:szCs w:val="21"/>
              </w:rPr>
              <w:t>多热源矿热协同开采实验设备主机</w:t>
            </w:r>
          </w:p>
        </w:tc>
        <w:tc>
          <w:tcPr>
            <w:tcW w:w="753" w:type="pct"/>
            <w:tcBorders>
              <w:top w:val="single" w:color="auto" w:sz="4" w:space="0"/>
              <w:left w:val="single" w:color="auto" w:sz="4" w:space="0"/>
              <w:right w:val="single" w:color="auto" w:sz="4" w:space="0"/>
            </w:tcBorders>
            <w:vAlign w:val="center"/>
          </w:tcPr>
          <w:p w14:paraId="3F258A08">
            <w:pPr>
              <w:adjustRightInd w:val="0"/>
              <w:snapToGrid w:val="0"/>
              <w:jc w:val="center"/>
              <w:rPr>
                <w:rFonts w:ascii="Times New Roman" w:hAnsi="Times New Roman" w:eastAsia="仿宋"/>
                <w:szCs w:val="21"/>
              </w:rPr>
            </w:pPr>
            <w:r>
              <w:rPr>
                <w:rFonts w:hint="eastAsia" w:ascii="Times New Roman" w:hAnsi="Times New Roman" w:eastAsia="仿宋"/>
                <w:szCs w:val="21"/>
              </w:rPr>
              <w:t>主体框架</w:t>
            </w:r>
          </w:p>
        </w:tc>
        <w:tc>
          <w:tcPr>
            <w:tcW w:w="3225" w:type="pct"/>
            <w:tcBorders>
              <w:top w:val="single" w:color="auto" w:sz="4" w:space="0"/>
              <w:left w:val="single" w:color="auto" w:sz="4" w:space="0"/>
              <w:right w:val="single" w:color="auto" w:sz="4" w:space="0"/>
            </w:tcBorders>
            <w:vAlign w:val="center"/>
          </w:tcPr>
          <w:p w14:paraId="1E2D2AB4">
            <w:pPr>
              <w:adjustRightInd w:val="0"/>
              <w:snapToGrid w:val="0"/>
              <w:rPr>
                <w:rFonts w:ascii="Times New Roman" w:hAnsi="Times New Roman" w:eastAsia="仿宋"/>
                <w:szCs w:val="21"/>
              </w:rPr>
            </w:pPr>
            <w:r>
              <w:rPr>
                <w:rFonts w:ascii="Times New Roman" w:hAnsi="Times New Roman" w:eastAsia="仿宋"/>
                <w:szCs w:val="21"/>
              </w:rPr>
              <w:t>多热源矿热协同开采实验设备主机</w:t>
            </w:r>
            <w:r>
              <w:rPr>
                <w:rFonts w:hint="eastAsia" w:ascii="Times New Roman" w:hAnsi="Times New Roman" w:eastAsia="仿宋"/>
                <w:szCs w:val="21"/>
              </w:rPr>
              <w:t>主体框架</w:t>
            </w:r>
            <w:r>
              <w:rPr>
                <w:rFonts w:ascii="Times New Roman" w:hAnsi="Times New Roman" w:eastAsia="仿宋"/>
                <w:szCs w:val="21"/>
              </w:rPr>
              <w:t>为整个试验系统提供稳定的安装与试验空间，保障各功能模块精准对接，防止因结构变形影响试验精度与密封性</w:t>
            </w:r>
            <w:r>
              <w:rPr>
                <w:rFonts w:hint="eastAsia" w:ascii="Times New Roman" w:hAnsi="Times New Roman" w:eastAsia="仿宋"/>
                <w:szCs w:val="21"/>
              </w:rPr>
              <w:t>，具体参数如下：</w:t>
            </w:r>
          </w:p>
          <w:p w14:paraId="45CBEE0B">
            <w:pPr>
              <w:adjustRightInd w:val="0"/>
              <w:snapToGrid w:val="0"/>
              <w:rPr>
                <w:rFonts w:ascii="Times New Roman" w:hAnsi="Times New Roman" w:eastAsia="仿宋"/>
                <w:szCs w:val="21"/>
              </w:rPr>
            </w:pPr>
            <w:r>
              <w:rPr>
                <w:rFonts w:hint="eastAsia" w:ascii="Times New Roman" w:hAnsi="Times New Roman" w:eastAsia="仿宋"/>
                <w:szCs w:val="21"/>
              </w:rPr>
              <w:t>(1) 外尺寸</w:t>
            </w:r>
            <w:r>
              <w:rPr>
                <w:rFonts w:ascii="Times New Roman" w:hAnsi="Times New Roman" w:eastAsia="仿宋"/>
                <w:szCs w:val="21"/>
              </w:rPr>
              <w:t>1</w:t>
            </w:r>
            <w:r>
              <w:rPr>
                <w:rFonts w:hint="eastAsia" w:ascii="Times New Roman" w:hAnsi="Times New Roman" w:eastAsia="仿宋"/>
                <w:szCs w:val="21"/>
              </w:rPr>
              <w:t>8</w:t>
            </w:r>
            <w:r>
              <w:rPr>
                <w:rFonts w:ascii="Times New Roman" w:hAnsi="Times New Roman" w:eastAsia="仿宋"/>
                <w:szCs w:val="21"/>
              </w:rPr>
              <w:t>00</w:t>
            </w:r>
            <w:r>
              <w:rPr>
                <w:rFonts w:hint="eastAsia" w:ascii="Times New Roman" w:hAnsi="Times New Roman" w:eastAsia="仿宋"/>
                <w:szCs w:val="21"/>
              </w:rPr>
              <w:t>±5mm×</w:t>
            </w:r>
            <w:r>
              <w:rPr>
                <w:rFonts w:ascii="Times New Roman" w:hAnsi="Times New Roman" w:eastAsia="仿宋"/>
                <w:szCs w:val="21"/>
              </w:rPr>
              <w:t>1</w:t>
            </w:r>
            <w:r>
              <w:rPr>
                <w:rFonts w:hint="eastAsia" w:ascii="Times New Roman" w:hAnsi="Times New Roman" w:eastAsia="仿宋"/>
                <w:szCs w:val="21"/>
              </w:rPr>
              <w:t>8</w:t>
            </w:r>
            <w:r>
              <w:rPr>
                <w:rFonts w:ascii="Times New Roman" w:hAnsi="Times New Roman" w:eastAsia="仿宋"/>
                <w:szCs w:val="21"/>
              </w:rPr>
              <w:t>00</w:t>
            </w:r>
            <w:r>
              <w:rPr>
                <w:rFonts w:hint="eastAsia" w:ascii="Times New Roman" w:hAnsi="Times New Roman" w:eastAsia="仿宋"/>
                <w:szCs w:val="21"/>
              </w:rPr>
              <w:t>±5mm×</w:t>
            </w:r>
            <w:r>
              <w:rPr>
                <w:rFonts w:ascii="Times New Roman" w:hAnsi="Times New Roman" w:eastAsia="仿宋"/>
                <w:szCs w:val="21"/>
              </w:rPr>
              <w:t>3</w:t>
            </w:r>
            <w:r>
              <w:rPr>
                <w:rFonts w:hint="eastAsia" w:ascii="Times New Roman" w:hAnsi="Times New Roman" w:eastAsia="仿宋"/>
                <w:szCs w:val="21"/>
              </w:rPr>
              <w:t>3</w:t>
            </w:r>
            <w:r>
              <w:rPr>
                <w:rFonts w:ascii="Times New Roman" w:hAnsi="Times New Roman" w:eastAsia="仿宋"/>
                <w:szCs w:val="21"/>
              </w:rPr>
              <w:t>00</w:t>
            </w:r>
            <w:r>
              <w:rPr>
                <w:rFonts w:hint="eastAsia" w:ascii="Times New Roman" w:hAnsi="Times New Roman" w:eastAsia="仿宋"/>
                <w:szCs w:val="21"/>
              </w:rPr>
              <w:t>±5mm，外层采用钢板结构件支撑；</w:t>
            </w:r>
          </w:p>
          <w:p w14:paraId="3B77EDBE">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2</w:t>
            </w:r>
            <w:r>
              <w:rPr>
                <w:rFonts w:ascii="Times New Roman" w:hAnsi="Times New Roman" w:eastAsia="仿宋"/>
                <w:szCs w:val="21"/>
              </w:rPr>
              <w:t xml:space="preserve">) </w:t>
            </w:r>
            <w:r>
              <w:rPr>
                <w:rFonts w:hint="eastAsia" w:ascii="Times New Roman" w:hAnsi="Times New Roman" w:eastAsia="仿宋"/>
                <w:szCs w:val="21"/>
              </w:rPr>
              <w:t>有效模拟空间：</w:t>
            </w:r>
            <w:r>
              <w:rPr>
                <w:rFonts w:ascii="Times New Roman" w:hAnsi="Times New Roman" w:eastAsia="仿宋"/>
                <w:szCs w:val="21"/>
              </w:rPr>
              <w:t>1</w:t>
            </w:r>
            <w:r>
              <w:rPr>
                <w:rFonts w:hint="eastAsia" w:ascii="Times New Roman" w:hAnsi="Times New Roman" w:eastAsia="仿宋"/>
                <w:szCs w:val="21"/>
              </w:rPr>
              <w:t>50</w:t>
            </w:r>
            <w:r>
              <w:rPr>
                <w:rFonts w:ascii="Times New Roman" w:hAnsi="Times New Roman" w:eastAsia="仿宋"/>
                <w:szCs w:val="21"/>
              </w:rPr>
              <w:t>0</w:t>
            </w:r>
            <w:r>
              <w:rPr>
                <w:rFonts w:hint="eastAsia" w:ascii="Times New Roman" w:hAnsi="Times New Roman" w:eastAsia="仿宋"/>
                <w:szCs w:val="21"/>
              </w:rPr>
              <w:t>±5mm×</w:t>
            </w:r>
            <w:r>
              <w:rPr>
                <w:rFonts w:ascii="Times New Roman" w:hAnsi="Times New Roman" w:eastAsia="仿宋"/>
                <w:szCs w:val="21"/>
              </w:rPr>
              <w:t>1</w:t>
            </w:r>
            <w:r>
              <w:rPr>
                <w:rFonts w:hint="eastAsia" w:ascii="Times New Roman" w:hAnsi="Times New Roman" w:eastAsia="仿宋"/>
                <w:szCs w:val="21"/>
              </w:rPr>
              <w:t>50</w:t>
            </w:r>
            <w:r>
              <w:rPr>
                <w:rFonts w:ascii="Times New Roman" w:hAnsi="Times New Roman" w:eastAsia="仿宋"/>
                <w:szCs w:val="21"/>
              </w:rPr>
              <w:t>0</w:t>
            </w:r>
            <w:r>
              <w:rPr>
                <w:rFonts w:hint="eastAsia" w:ascii="Times New Roman" w:hAnsi="Times New Roman" w:eastAsia="仿宋"/>
                <w:szCs w:val="21"/>
              </w:rPr>
              <w:t>±5mm×</w:t>
            </w:r>
            <w:r>
              <w:rPr>
                <w:rFonts w:ascii="Times New Roman" w:hAnsi="Times New Roman" w:eastAsia="仿宋"/>
                <w:szCs w:val="21"/>
              </w:rPr>
              <w:t>3</w:t>
            </w:r>
            <w:r>
              <w:rPr>
                <w:rFonts w:hint="eastAsia" w:ascii="Times New Roman" w:hAnsi="Times New Roman" w:eastAsia="仿宋"/>
                <w:szCs w:val="21"/>
              </w:rPr>
              <w:t>00</w:t>
            </w:r>
            <w:r>
              <w:rPr>
                <w:rFonts w:ascii="Times New Roman" w:hAnsi="Times New Roman" w:eastAsia="仿宋"/>
                <w:szCs w:val="21"/>
              </w:rPr>
              <w:t>0</w:t>
            </w:r>
            <w:r>
              <w:rPr>
                <w:rFonts w:hint="eastAsia" w:ascii="Times New Roman" w:hAnsi="Times New Roman" w:eastAsia="仿宋"/>
                <w:szCs w:val="21"/>
              </w:rPr>
              <w:t>±5mm，内壁铺设304不锈钢板，耐腐蚀且导热性能稳定，不锈钢板一侧朝向试样块，另一侧紧贴加热模块</w:t>
            </w:r>
            <w:r>
              <w:rPr>
                <w:rFonts w:ascii="Times New Roman" w:hAnsi="Times New Roman" w:eastAsia="仿宋"/>
                <w:szCs w:val="21"/>
              </w:rPr>
              <w:t>；</w:t>
            </w:r>
          </w:p>
          <w:p w14:paraId="02E87263">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3</w:t>
            </w:r>
            <w:r>
              <w:rPr>
                <w:rFonts w:ascii="Times New Roman" w:hAnsi="Times New Roman" w:eastAsia="仿宋"/>
                <w:szCs w:val="21"/>
              </w:rPr>
              <w:t xml:space="preserve">) </w:t>
            </w:r>
            <w:r>
              <w:rPr>
                <w:rFonts w:hint="eastAsia" w:ascii="Times New Roman" w:hAnsi="Times New Roman" w:eastAsia="仿宋"/>
                <w:szCs w:val="21"/>
              </w:rPr>
              <w:t>加热模块与外层钢板结构件之间填充耐高温保温棉，保温棉耐温≥</w:t>
            </w:r>
            <w:r>
              <w:rPr>
                <w:rFonts w:ascii="Times New Roman" w:hAnsi="Times New Roman" w:eastAsia="仿宋"/>
                <w:szCs w:val="21"/>
              </w:rPr>
              <w:t>150</w:t>
            </w:r>
            <w:r>
              <w:rPr>
                <w:rFonts w:ascii="Times New Roman" w:hAnsi="Times New Roman" w:eastAsia="仿宋" w:cs="Cambria Math"/>
                <w:szCs w:val="21"/>
              </w:rPr>
              <w:t>℃</w:t>
            </w:r>
            <w:r>
              <w:rPr>
                <w:rFonts w:ascii="Times New Roman" w:hAnsi="Times New Roman" w:eastAsia="仿宋"/>
                <w:szCs w:val="21"/>
              </w:rPr>
              <w:t>，导热系数≤0.03W/(m</w:t>
            </w:r>
            <w:r>
              <w:rPr>
                <w:rFonts w:hint="eastAsia" w:ascii="微软雅黑" w:hAnsi="微软雅黑" w:eastAsia="微软雅黑" w:cs="微软雅黑"/>
                <w:szCs w:val="21"/>
              </w:rPr>
              <w:t>・</w:t>
            </w:r>
            <w:r>
              <w:rPr>
                <w:rFonts w:ascii="Times New Roman" w:hAnsi="Times New Roman" w:eastAsia="仿宋"/>
                <w:szCs w:val="21"/>
              </w:rPr>
              <w:t>K)</w:t>
            </w:r>
            <w:r>
              <w:rPr>
                <w:rFonts w:hint="eastAsia" w:ascii="Times New Roman" w:hAnsi="Times New Roman" w:eastAsia="仿宋"/>
                <w:szCs w:val="21"/>
              </w:rPr>
              <w:t>）；</w:t>
            </w:r>
          </w:p>
          <w:p w14:paraId="2A78E3B5">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4</w:t>
            </w:r>
            <w:r>
              <w:rPr>
                <w:rFonts w:ascii="Times New Roman" w:hAnsi="Times New Roman" w:eastAsia="仿宋"/>
                <w:szCs w:val="21"/>
              </w:rPr>
              <w:t xml:space="preserve">) </w:t>
            </w:r>
            <w:r>
              <w:rPr>
                <w:rFonts w:hint="eastAsia" w:ascii="Times New Roman" w:hAnsi="Times New Roman" w:eastAsia="仿宋"/>
                <w:szCs w:val="21"/>
              </w:rPr>
              <w:t>刚度符合吊装要求，保证变形控制在±0.1%以内，不影响加热效果和渗流接口接入后的渗流密封性；</w:t>
            </w:r>
          </w:p>
          <w:p w14:paraId="7AC462E1">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5)</w:t>
            </w:r>
            <w:r>
              <w:rPr>
                <w:rFonts w:ascii="Times New Roman" w:hAnsi="Times New Roman" w:eastAsia="仿宋"/>
                <w:szCs w:val="21"/>
              </w:rPr>
              <w:t xml:space="preserve"> </w:t>
            </w:r>
            <w:r>
              <w:rPr>
                <w:rFonts w:hint="eastAsia" w:ascii="Times New Roman" w:hAnsi="Times New Roman" w:eastAsia="仿宋"/>
                <w:szCs w:val="21"/>
              </w:rPr>
              <w:t>设置有动态流体高压输出装置接口，包括顶部渗水接口、底部涌水接口、废水回收接口，顶部渗水接口与底部涌水接口安装可拆卸透水板；除动态流体高压输出装置接口以外整机其余部位设置为完全防水防漏结构，所有回收废水仅由废水回收接口排出；</w:t>
            </w:r>
          </w:p>
          <w:p w14:paraId="5B12578F">
            <w:pPr>
              <w:adjustRightInd w:val="0"/>
              <w:snapToGrid w:val="0"/>
              <w:rPr>
                <w:rFonts w:ascii="Times New Roman" w:hAnsi="Times New Roman" w:eastAsia="仿宋"/>
                <w:szCs w:val="21"/>
              </w:rPr>
            </w:pPr>
            <w:r>
              <w:rPr>
                <w:rFonts w:hint="eastAsia" w:ascii="Times New Roman" w:hAnsi="Times New Roman" w:eastAsia="仿宋"/>
                <w:szCs w:val="21"/>
              </w:rPr>
              <w:t>(6) 主机轴向前后端面增设300±5mm×</w:t>
            </w:r>
            <w:r>
              <w:rPr>
                <w:rFonts w:ascii="Times New Roman" w:hAnsi="Times New Roman" w:eastAsia="仿宋"/>
                <w:szCs w:val="21"/>
              </w:rPr>
              <w:t>3</w:t>
            </w:r>
            <w:r>
              <w:rPr>
                <w:rFonts w:hint="eastAsia" w:ascii="Times New Roman" w:hAnsi="Times New Roman" w:eastAsia="仿宋"/>
                <w:szCs w:val="21"/>
              </w:rPr>
              <w:t>00±5mm通风接口和传感器管线接口。</w:t>
            </w:r>
          </w:p>
        </w:tc>
      </w:tr>
      <w:tr w14:paraId="4CC95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4" w:type="pct"/>
            <w:vMerge w:val="continue"/>
            <w:tcBorders>
              <w:left w:val="single" w:color="auto" w:sz="4" w:space="0"/>
              <w:right w:val="single" w:color="auto" w:sz="4" w:space="0"/>
            </w:tcBorders>
            <w:vAlign w:val="center"/>
          </w:tcPr>
          <w:p w14:paraId="042B95A4">
            <w:pPr>
              <w:adjustRightInd w:val="0"/>
              <w:snapToGrid w:val="0"/>
              <w:jc w:val="center"/>
              <w:rPr>
                <w:rFonts w:ascii="Times New Roman" w:hAnsi="Times New Roman" w:eastAsia="仿宋"/>
                <w:szCs w:val="21"/>
              </w:rPr>
            </w:pPr>
          </w:p>
        </w:tc>
        <w:tc>
          <w:tcPr>
            <w:tcW w:w="598" w:type="pct"/>
            <w:vMerge w:val="continue"/>
            <w:tcBorders>
              <w:left w:val="single" w:color="auto" w:sz="4" w:space="0"/>
              <w:right w:val="single" w:color="auto" w:sz="4" w:space="0"/>
            </w:tcBorders>
            <w:vAlign w:val="center"/>
          </w:tcPr>
          <w:p w14:paraId="1718704C">
            <w:pPr>
              <w:adjustRightInd w:val="0"/>
              <w:snapToGrid w:val="0"/>
              <w:jc w:val="center"/>
              <w:rPr>
                <w:rFonts w:ascii="Times New Roman" w:hAnsi="Times New Roman" w:eastAsia="仿宋"/>
                <w:szCs w:val="21"/>
              </w:rPr>
            </w:pPr>
          </w:p>
        </w:tc>
        <w:tc>
          <w:tcPr>
            <w:tcW w:w="753" w:type="pct"/>
            <w:tcBorders>
              <w:top w:val="single" w:color="auto" w:sz="4" w:space="0"/>
              <w:left w:val="single" w:color="auto" w:sz="4" w:space="0"/>
              <w:right w:val="single" w:color="auto" w:sz="4" w:space="0"/>
            </w:tcBorders>
            <w:vAlign w:val="center"/>
          </w:tcPr>
          <w:p w14:paraId="1F98E489">
            <w:pPr>
              <w:adjustRightInd w:val="0"/>
              <w:snapToGrid w:val="0"/>
              <w:jc w:val="center"/>
              <w:rPr>
                <w:rFonts w:ascii="Times New Roman" w:hAnsi="Times New Roman" w:eastAsia="仿宋"/>
                <w:szCs w:val="21"/>
              </w:rPr>
            </w:pPr>
            <w:r>
              <w:rPr>
                <w:rFonts w:hint="eastAsia" w:ascii="Times New Roman" w:hAnsi="Times New Roman" w:eastAsia="仿宋"/>
                <w:szCs w:val="21"/>
              </w:rPr>
              <w:t>加热模块</w:t>
            </w:r>
          </w:p>
        </w:tc>
        <w:tc>
          <w:tcPr>
            <w:tcW w:w="3225" w:type="pct"/>
            <w:tcBorders>
              <w:top w:val="single" w:color="auto" w:sz="4" w:space="0"/>
              <w:left w:val="single" w:color="auto" w:sz="4" w:space="0"/>
              <w:right w:val="single" w:color="auto" w:sz="4" w:space="0"/>
            </w:tcBorders>
            <w:vAlign w:val="center"/>
          </w:tcPr>
          <w:p w14:paraId="478415D7">
            <w:pPr>
              <w:adjustRightInd w:val="0"/>
              <w:snapToGrid w:val="0"/>
              <w:rPr>
                <w:rFonts w:ascii="Times New Roman" w:hAnsi="Times New Roman" w:eastAsia="仿宋"/>
                <w:szCs w:val="21"/>
              </w:rPr>
            </w:pPr>
            <w:r>
              <w:rPr>
                <w:rFonts w:hint="eastAsia" w:ascii="Times New Roman" w:hAnsi="Times New Roman" w:eastAsia="仿宋"/>
                <w:szCs w:val="21"/>
              </w:rPr>
              <w:t>加热模块置于主体框架不锈钢板表面与填充耐高温保温棉之间，并紧密贴合，覆盖有效实验面积，共14</w:t>
            </w:r>
            <w:r>
              <w:rPr>
                <w:rFonts w:ascii="Times New Roman" w:hAnsi="Times New Roman" w:eastAsia="仿宋"/>
                <w:szCs w:val="21"/>
              </w:rPr>
              <w:t>个</w:t>
            </w:r>
            <w:r>
              <w:rPr>
                <w:rFonts w:hint="eastAsia" w:ascii="Times New Roman" w:hAnsi="Times New Roman" w:eastAsia="仿宋"/>
                <w:szCs w:val="21"/>
              </w:rPr>
              <w:t>独立加热区，可以实现上下温度梯级调节，实现温度分区精准控制，具体参数如下：</w:t>
            </w:r>
          </w:p>
          <w:p w14:paraId="3146AA2E">
            <w:pPr>
              <w:adjustRightInd w:val="0"/>
              <w:snapToGrid w:val="0"/>
              <w:rPr>
                <w:rFonts w:ascii="Times New Roman" w:hAnsi="Times New Roman" w:eastAsia="仿宋"/>
                <w:szCs w:val="21"/>
              </w:rPr>
            </w:pPr>
            <w:r>
              <w:rPr>
                <w:rFonts w:ascii="Times New Roman" w:hAnsi="Times New Roman" w:eastAsia="仿宋"/>
                <w:color w:val="FF0000"/>
                <w:szCs w:val="21"/>
              </w:rPr>
              <w:t>(1)</w:t>
            </w:r>
            <w:r>
              <w:rPr>
                <w:rFonts w:ascii="Times New Roman" w:hAnsi="Times New Roman" w:eastAsia="仿宋"/>
                <w:szCs w:val="21"/>
              </w:rPr>
              <w:t xml:space="preserve"> </w:t>
            </w:r>
            <w:r>
              <w:rPr>
                <w:rFonts w:hint="eastAsia" w:ascii="Times New Roman" w:hAnsi="Times New Roman" w:eastAsia="仿宋"/>
                <w:szCs w:val="21"/>
              </w:rPr>
              <w:t>侧向加热模块：采用加热铝板，贴合于主体框架不锈钢板表面与填充耐高温保温棉之间进行加热传导，覆盖侧面</w:t>
            </w:r>
            <w:r>
              <w:rPr>
                <w:rFonts w:ascii="Times New Roman" w:hAnsi="Times New Roman" w:eastAsia="仿宋"/>
                <w:szCs w:val="21"/>
              </w:rPr>
              <w:t>1</w:t>
            </w:r>
            <w:r>
              <w:rPr>
                <w:rFonts w:hint="eastAsia" w:ascii="Times New Roman" w:hAnsi="Times New Roman" w:eastAsia="仿宋"/>
                <w:szCs w:val="21"/>
              </w:rPr>
              <w:t>50</w:t>
            </w:r>
            <w:r>
              <w:rPr>
                <w:rFonts w:ascii="Times New Roman" w:hAnsi="Times New Roman" w:eastAsia="仿宋"/>
                <w:szCs w:val="21"/>
              </w:rPr>
              <w:t>0</w:t>
            </w:r>
            <w:r>
              <w:rPr>
                <w:rFonts w:hint="eastAsia" w:ascii="Times New Roman" w:hAnsi="Times New Roman" w:eastAsia="仿宋"/>
                <w:szCs w:val="21"/>
              </w:rPr>
              <w:t>mm×</w:t>
            </w:r>
            <w:r>
              <w:rPr>
                <w:rFonts w:ascii="Times New Roman" w:hAnsi="Times New Roman" w:eastAsia="仿宋"/>
                <w:szCs w:val="21"/>
              </w:rPr>
              <w:t>1</w:t>
            </w:r>
            <w:r>
              <w:rPr>
                <w:rFonts w:hint="eastAsia" w:ascii="Times New Roman" w:hAnsi="Times New Roman" w:eastAsia="仿宋"/>
                <w:szCs w:val="21"/>
              </w:rPr>
              <w:t>50</w:t>
            </w:r>
            <w:r>
              <w:rPr>
                <w:rFonts w:ascii="Times New Roman" w:hAnsi="Times New Roman" w:eastAsia="仿宋"/>
                <w:szCs w:val="21"/>
              </w:rPr>
              <w:t>0</w:t>
            </w:r>
            <w:r>
              <w:rPr>
                <w:rFonts w:hint="eastAsia" w:ascii="Times New Roman" w:hAnsi="Times New Roman" w:eastAsia="仿宋"/>
                <w:szCs w:val="21"/>
              </w:rPr>
              <w:t>mm×</w:t>
            </w:r>
            <w:r>
              <w:rPr>
                <w:rFonts w:ascii="Times New Roman" w:hAnsi="Times New Roman" w:eastAsia="仿宋"/>
                <w:szCs w:val="21"/>
              </w:rPr>
              <w:t>3</w:t>
            </w:r>
            <w:r>
              <w:rPr>
                <w:rFonts w:hint="eastAsia" w:ascii="Times New Roman" w:hAnsi="Times New Roman" w:eastAsia="仿宋"/>
                <w:szCs w:val="21"/>
              </w:rPr>
              <w:t>000mm有效空间的侧向区域，分为3个独立加热段，每段</w:t>
            </w:r>
            <w:r>
              <w:rPr>
                <w:rFonts w:ascii="Times New Roman" w:hAnsi="Times New Roman" w:eastAsia="仿宋"/>
                <w:szCs w:val="21"/>
              </w:rPr>
              <w:t>1</w:t>
            </w:r>
            <w:r>
              <w:rPr>
                <w:rFonts w:hint="eastAsia" w:ascii="Times New Roman" w:hAnsi="Times New Roman" w:eastAsia="仿宋"/>
                <w:szCs w:val="21"/>
              </w:rPr>
              <w:t>50</w:t>
            </w:r>
            <w:r>
              <w:rPr>
                <w:rFonts w:ascii="Times New Roman" w:hAnsi="Times New Roman" w:eastAsia="仿宋"/>
                <w:szCs w:val="21"/>
              </w:rPr>
              <w:t>0</w:t>
            </w:r>
            <w:r>
              <w:rPr>
                <w:rFonts w:hint="eastAsia" w:ascii="Times New Roman" w:hAnsi="Times New Roman" w:eastAsia="仿宋"/>
                <w:szCs w:val="21"/>
              </w:rPr>
              <w:t>mm×</w:t>
            </w:r>
            <w:r>
              <w:rPr>
                <w:rFonts w:ascii="Times New Roman" w:hAnsi="Times New Roman" w:eastAsia="仿宋"/>
                <w:szCs w:val="21"/>
              </w:rPr>
              <w:t>1</w:t>
            </w:r>
            <w:r>
              <w:rPr>
                <w:rFonts w:hint="eastAsia" w:ascii="Times New Roman" w:hAnsi="Times New Roman" w:eastAsia="仿宋"/>
                <w:szCs w:val="21"/>
              </w:rPr>
              <w:t>50</w:t>
            </w:r>
            <w:r>
              <w:rPr>
                <w:rFonts w:ascii="Times New Roman" w:hAnsi="Times New Roman" w:eastAsia="仿宋"/>
                <w:szCs w:val="21"/>
              </w:rPr>
              <w:t>0</w:t>
            </w:r>
            <w:r>
              <w:rPr>
                <w:rFonts w:hint="eastAsia" w:ascii="Times New Roman" w:hAnsi="Times New Roman" w:eastAsia="仿宋"/>
                <w:szCs w:val="21"/>
              </w:rPr>
              <w:t>mm×1000mm，每段设置上下左右四个侧面，3段共设置12个独立加热面，且左右两侧面共6个独立加热面可以实现上中下温度的梯级调节，实现温度分段精准控制；</w:t>
            </w:r>
          </w:p>
          <w:p w14:paraId="7EFB6EB7">
            <w:pPr>
              <w:adjustRightInd w:val="0"/>
              <w:snapToGrid w:val="0"/>
              <w:rPr>
                <w:rFonts w:ascii="Times New Roman" w:hAnsi="Times New Roman" w:eastAsia="仿宋"/>
                <w:szCs w:val="21"/>
              </w:rPr>
            </w:pPr>
            <w:r>
              <w:rPr>
                <w:rFonts w:ascii="Times New Roman" w:hAnsi="Times New Roman" w:eastAsia="仿宋"/>
                <w:color w:val="FF0000"/>
                <w:szCs w:val="21"/>
              </w:rPr>
              <w:t>(</w:t>
            </w:r>
            <w:r>
              <w:rPr>
                <w:rFonts w:hint="eastAsia" w:ascii="Times New Roman" w:hAnsi="Times New Roman" w:eastAsia="仿宋"/>
                <w:color w:val="FF0000"/>
                <w:szCs w:val="21"/>
              </w:rPr>
              <w:t>2</w:t>
            </w:r>
            <w:r>
              <w:rPr>
                <w:rFonts w:ascii="Times New Roman" w:hAnsi="Times New Roman" w:eastAsia="仿宋"/>
                <w:color w:val="FF0000"/>
                <w:szCs w:val="21"/>
              </w:rPr>
              <w:t>)</w:t>
            </w:r>
            <w:r>
              <w:rPr>
                <w:rFonts w:ascii="Times New Roman" w:hAnsi="Times New Roman" w:eastAsia="仿宋"/>
                <w:szCs w:val="21"/>
              </w:rPr>
              <w:t xml:space="preserve"> </w:t>
            </w:r>
            <w:r>
              <w:rPr>
                <w:rFonts w:hint="eastAsia" w:ascii="Times New Roman" w:hAnsi="Times New Roman" w:eastAsia="仿宋"/>
                <w:szCs w:val="21"/>
              </w:rPr>
              <w:t>轴向端面加热模块：采用加热铝板，贴合于主体框架不锈钢板表面与填充耐高温保温棉之间进行加热传导，覆盖主机轴向前后端面</w:t>
            </w:r>
            <w:r>
              <w:rPr>
                <w:rFonts w:ascii="Times New Roman" w:hAnsi="Times New Roman" w:eastAsia="仿宋"/>
                <w:szCs w:val="21"/>
              </w:rPr>
              <w:t>1</w:t>
            </w:r>
            <w:r>
              <w:rPr>
                <w:rFonts w:hint="eastAsia" w:ascii="Times New Roman" w:hAnsi="Times New Roman" w:eastAsia="仿宋"/>
                <w:szCs w:val="21"/>
              </w:rPr>
              <w:t>50</w:t>
            </w:r>
            <w:r>
              <w:rPr>
                <w:rFonts w:ascii="Times New Roman" w:hAnsi="Times New Roman" w:eastAsia="仿宋"/>
                <w:szCs w:val="21"/>
              </w:rPr>
              <w:t>0</w:t>
            </w:r>
            <w:r>
              <w:rPr>
                <w:rFonts w:hint="eastAsia" w:ascii="Times New Roman" w:hAnsi="Times New Roman" w:eastAsia="仿宋"/>
                <w:szCs w:val="21"/>
              </w:rPr>
              <w:t>mm×</w:t>
            </w:r>
            <w:r>
              <w:rPr>
                <w:rFonts w:ascii="Times New Roman" w:hAnsi="Times New Roman" w:eastAsia="仿宋"/>
                <w:szCs w:val="21"/>
              </w:rPr>
              <w:t>1</w:t>
            </w:r>
            <w:r>
              <w:rPr>
                <w:rFonts w:hint="eastAsia" w:ascii="Times New Roman" w:hAnsi="Times New Roman" w:eastAsia="仿宋"/>
                <w:szCs w:val="21"/>
              </w:rPr>
              <w:t>50</w:t>
            </w:r>
            <w:r>
              <w:rPr>
                <w:rFonts w:ascii="Times New Roman" w:hAnsi="Times New Roman" w:eastAsia="仿宋"/>
                <w:szCs w:val="21"/>
              </w:rPr>
              <w:t>0</w:t>
            </w:r>
            <w:r>
              <w:rPr>
                <w:rFonts w:hint="eastAsia" w:ascii="Times New Roman" w:hAnsi="Times New Roman" w:eastAsia="仿宋"/>
                <w:szCs w:val="21"/>
              </w:rPr>
              <w:t>mm有效区域，分为2个独立加热面，且可以实现上中下温度梯级调节，实现温度分区精准控制；</w:t>
            </w:r>
          </w:p>
          <w:p w14:paraId="0ED351AD">
            <w:pPr>
              <w:adjustRightInd w:val="0"/>
              <w:snapToGrid w:val="0"/>
              <w:rPr>
                <w:rFonts w:ascii="Times New Roman" w:hAnsi="Times New Roman" w:eastAsia="仿宋"/>
                <w:szCs w:val="21"/>
              </w:rPr>
            </w:pPr>
            <w:r>
              <w:rPr>
                <w:rFonts w:ascii="Times New Roman" w:hAnsi="Times New Roman" w:eastAsia="仿宋"/>
                <w:color w:val="FF0000"/>
                <w:szCs w:val="21"/>
              </w:rPr>
              <w:t>(</w:t>
            </w:r>
            <w:r>
              <w:rPr>
                <w:rFonts w:hint="eastAsia" w:ascii="Times New Roman" w:hAnsi="Times New Roman" w:eastAsia="仿宋"/>
                <w:color w:val="FF0000"/>
                <w:szCs w:val="21"/>
              </w:rPr>
              <w:t>3</w:t>
            </w:r>
            <w:r>
              <w:rPr>
                <w:rFonts w:ascii="Times New Roman" w:hAnsi="Times New Roman" w:eastAsia="仿宋"/>
                <w:color w:val="FF0000"/>
                <w:szCs w:val="21"/>
              </w:rPr>
              <w:t>)</w:t>
            </w:r>
            <w:r>
              <w:rPr>
                <w:rFonts w:ascii="Times New Roman" w:hAnsi="Times New Roman" w:eastAsia="仿宋"/>
                <w:szCs w:val="21"/>
              </w:rPr>
              <w:t xml:space="preserve"> </w:t>
            </w:r>
            <w:r>
              <w:rPr>
                <w:rFonts w:hint="eastAsia" w:ascii="Times New Roman" w:hAnsi="Times New Roman" w:eastAsia="仿宋"/>
                <w:szCs w:val="21"/>
              </w:rPr>
              <w:t>配备温度伺服控制器，支持PID调节，通过嵌入有效空间内的铂电阻传感器实时反馈温度，实现25~100℃连续可调，控温精度±0.5℃。</w:t>
            </w:r>
          </w:p>
          <w:p w14:paraId="5BF1229A">
            <w:pPr>
              <w:adjustRightInd w:val="0"/>
              <w:snapToGrid w:val="0"/>
              <w:rPr>
                <w:rStyle w:val="16"/>
                <w:rFonts w:hint="default" w:ascii="Times New Roman" w:hAnsi="Times New Roman" w:eastAsia="仿宋" w:cs="Arial"/>
                <w:sz w:val="21"/>
                <w:szCs w:val="21"/>
              </w:rPr>
            </w:pPr>
            <w:r>
              <w:rPr>
                <w:rFonts w:ascii="Times New Roman" w:hAnsi="Times New Roman" w:eastAsia="仿宋"/>
                <w:color w:val="FF0000"/>
                <w:szCs w:val="21"/>
              </w:rPr>
              <w:t>(</w:t>
            </w:r>
            <w:r>
              <w:rPr>
                <w:rFonts w:hint="eastAsia" w:ascii="Times New Roman" w:hAnsi="Times New Roman" w:eastAsia="仿宋"/>
                <w:color w:val="FF0000"/>
                <w:szCs w:val="21"/>
              </w:rPr>
              <w:t>4)</w:t>
            </w:r>
            <w:r>
              <w:rPr>
                <w:rFonts w:ascii="Times New Roman" w:hAnsi="Times New Roman" w:eastAsia="仿宋"/>
                <w:szCs w:val="21"/>
              </w:rPr>
              <w:t xml:space="preserve"> </w:t>
            </w:r>
            <w:r>
              <w:rPr>
                <w:rFonts w:hint="eastAsia" w:ascii="Times New Roman" w:hAnsi="Times New Roman" w:eastAsia="仿宋"/>
                <w:szCs w:val="21"/>
              </w:rPr>
              <w:t>加热模块紧贴填充耐高温保温棉，保证最大加热温度下主机外表面温度低于45℃，加热模块内部保证防腐防锈条件。</w:t>
            </w:r>
          </w:p>
        </w:tc>
      </w:tr>
      <w:tr w14:paraId="6C6AE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4" w:type="pct"/>
            <w:vMerge w:val="continue"/>
            <w:tcBorders>
              <w:left w:val="single" w:color="auto" w:sz="4" w:space="0"/>
              <w:right w:val="single" w:color="auto" w:sz="4" w:space="0"/>
            </w:tcBorders>
            <w:vAlign w:val="center"/>
          </w:tcPr>
          <w:p w14:paraId="62F8C2FD">
            <w:pPr>
              <w:adjustRightInd w:val="0"/>
              <w:snapToGrid w:val="0"/>
              <w:jc w:val="center"/>
              <w:rPr>
                <w:rFonts w:ascii="Times New Roman" w:hAnsi="Times New Roman" w:eastAsia="仿宋"/>
                <w:szCs w:val="21"/>
              </w:rPr>
            </w:pPr>
          </w:p>
        </w:tc>
        <w:tc>
          <w:tcPr>
            <w:tcW w:w="598" w:type="pct"/>
            <w:vMerge w:val="continue"/>
            <w:tcBorders>
              <w:left w:val="single" w:color="auto" w:sz="4" w:space="0"/>
              <w:right w:val="single" w:color="auto" w:sz="4" w:space="0"/>
            </w:tcBorders>
            <w:vAlign w:val="center"/>
          </w:tcPr>
          <w:p w14:paraId="7C5D4FCE">
            <w:pPr>
              <w:adjustRightInd w:val="0"/>
              <w:snapToGrid w:val="0"/>
              <w:jc w:val="center"/>
              <w:rPr>
                <w:rFonts w:ascii="Times New Roman" w:hAnsi="Times New Roman" w:eastAsia="仿宋"/>
                <w:szCs w:val="21"/>
              </w:rPr>
            </w:pPr>
          </w:p>
        </w:tc>
        <w:tc>
          <w:tcPr>
            <w:tcW w:w="753" w:type="pct"/>
            <w:tcBorders>
              <w:top w:val="single" w:color="auto" w:sz="4" w:space="0"/>
              <w:left w:val="single" w:color="auto" w:sz="4" w:space="0"/>
              <w:right w:val="single" w:color="auto" w:sz="4" w:space="0"/>
            </w:tcBorders>
            <w:vAlign w:val="center"/>
          </w:tcPr>
          <w:p w14:paraId="22CB8142">
            <w:pPr>
              <w:adjustRightInd w:val="0"/>
              <w:snapToGrid w:val="0"/>
              <w:jc w:val="center"/>
              <w:rPr>
                <w:rFonts w:ascii="Times New Roman" w:hAnsi="Times New Roman" w:eastAsia="仿宋"/>
                <w:szCs w:val="21"/>
              </w:rPr>
            </w:pPr>
            <w:r>
              <w:rPr>
                <w:rFonts w:hint="eastAsia" w:ascii="Times New Roman" w:hAnsi="Times New Roman" w:eastAsia="仿宋"/>
                <w:szCs w:val="21"/>
              </w:rPr>
              <w:t>通风模块</w:t>
            </w:r>
          </w:p>
        </w:tc>
        <w:tc>
          <w:tcPr>
            <w:tcW w:w="3225" w:type="pct"/>
            <w:tcBorders>
              <w:top w:val="single" w:color="auto" w:sz="4" w:space="0"/>
              <w:left w:val="single" w:color="auto" w:sz="4" w:space="0"/>
              <w:right w:val="single" w:color="auto" w:sz="4" w:space="0"/>
            </w:tcBorders>
            <w:vAlign w:val="center"/>
          </w:tcPr>
          <w:p w14:paraId="742A7859">
            <w:pPr>
              <w:adjustRightInd w:val="0"/>
              <w:snapToGrid w:val="0"/>
              <w:rPr>
                <w:rFonts w:ascii="Times New Roman" w:hAnsi="Times New Roman" w:eastAsia="仿宋"/>
                <w:szCs w:val="21"/>
              </w:rPr>
            </w:pPr>
            <w:r>
              <w:rPr>
                <w:rFonts w:ascii="Times New Roman" w:hAnsi="Times New Roman" w:eastAsia="仿宋"/>
                <w:szCs w:val="21"/>
              </w:rPr>
              <w:t>模拟深部矿井通风环境，</w:t>
            </w:r>
            <w:r>
              <w:rPr>
                <w:rFonts w:hint="eastAsia" w:ascii="Times New Roman" w:hAnsi="Times New Roman" w:eastAsia="仿宋"/>
                <w:szCs w:val="21"/>
              </w:rPr>
              <w:t>在主机内</w:t>
            </w:r>
            <w:r>
              <w:rPr>
                <w:rFonts w:ascii="Times New Roman" w:hAnsi="Times New Roman" w:eastAsia="仿宋"/>
                <w:szCs w:val="21"/>
              </w:rPr>
              <w:t>复现巷道通风场景，实现恒温恒湿气流调控，</w:t>
            </w:r>
            <w:r>
              <w:rPr>
                <w:rFonts w:hint="eastAsia" w:ascii="Times New Roman" w:hAnsi="Times New Roman" w:eastAsia="仿宋"/>
                <w:szCs w:val="21"/>
              </w:rPr>
              <w:t>具体参数如下：</w:t>
            </w:r>
          </w:p>
          <w:p w14:paraId="1C57D117">
            <w:pPr>
              <w:adjustRightInd w:val="0"/>
              <w:snapToGrid w:val="0"/>
              <w:rPr>
                <w:rFonts w:ascii="Times New Roman" w:hAnsi="Times New Roman" w:eastAsia="仿宋"/>
                <w:szCs w:val="21"/>
              </w:rPr>
            </w:pPr>
            <w:r>
              <w:rPr>
                <w:rFonts w:ascii="Times New Roman" w:hAnsi="Times New Roman" w:eastAsia="仿宋"/>
                <w:szCs w:val="21"/>
              </w:rPr>
              <w:t xml:space="preserve">(1) </w:t>
            </w:r>
            <w:r>
              <w:rPr>
                <w:rFonts w:hint="eastAsia" w:ascii="Times New Roman" w:hAnsi="Times New Roman" w:eastAsia="仿宋"/>
                <w:szCs w:val="21"/>
              </w:rPr>
              <w:t>恒温恒湿离</w:t>
            </w:r>
            <w:bookmarkStart w:id="0" w:name="_GoBack"/>
            <w:bookmarkEnd w:id="0"/>
            <w:r>
              <w:rPr>
                <w:rFonts w:hint="eastAsia" w:ascii="Times New Roman" w:hAnsi="Times New Roman" w:eastAsia="仿宋"/>
                <w:szCs w:val="21"/>
              </w:rPr>
              <w:t>心式通风机：①风压0~2.5MPa，风量0~4.5m</w:t>
            </w:r>
            <w:r>
              <w:rPr>
                <w:rFonts w:ascii="Times New Roman" w:hAnsi="Times New Roman" w:eastAsia="仿宋"/>
                <w:szCs w:val="21"/>
                <w:vertAlign w:val="superscript"/>
              </w:rPr>
              <w:t>3</w:t>
            </w:r>
            <w:r>
              <w:rPr>
                <w:rFonts w:hint="eastAsia" w:ascii="Times New Roman" w:hAnsi="Times New Roman" w:eastAsia="仿宋"/>
                <w:szCs w:val="21"/>
              </w:rPr>
              <w:t>/s，配变频控制器；②通过平衡调温方式进行温度控制，控制精度可达到±0.1℃。③出口湿度控制范围为10％~90％RH，湿度控制精度为±1%RH；</w:t>
            </w:r>
          </w:p>
          <w:p w14:paraId="6FFD226A">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2</w:t>
            </w:r>
            <w:r>
              <w:rPr>
                <w:rFonts w:ascii="Times New Roman" w:hAnsi="Times New Roman" w:eastAsia="仿宋"/>
                <w:szCs w:val="21"/>
              </w:rPr>
              <w:t xml:space="preserve">) </w:t>
            </w:r>
            <w:r>
              <w:rPr>
                <w:rFonts w:hint="eastAsia" w:ascii="Times New Roman" w:hAnsi="Times New Roman" w:eastAsia="仿宋"/>
                <w:szCs w:val="21"/>
              </w:rPr>
              <w:t>空气处理机组：空气处理机组风量需匹配恒温恒湿离心式通风机所需风量，含制冷设备、电加热器、蒸发器，风温10~35℃可调，恒定状态下温度波动范围为±1℃；</w:t>
            </w:r>
          </w:p>
          <w:p w14:paraId="5D1E2C26">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3)</w:t>
            </w:r>
            <w:r>
              <w:rPr>
                <w:rFonts w:ascii="Times New Roman" w:hAnsi="Times New Roman" w:eastAsia="仿宋"/>
                <w:szCs w:val="21"/>
              </w:rPr>
              <w:t xml:space="preserve"> </w:t>
            </w:r>
            <w:r>
              <w:rPr>
                <w:rFonts w:hint="eastAsia" w:ascii="Times New Roman" w:hAnsi="Times New Roman" w:eastAsia="仿宋"/>
                <w:szCs w:val="21"/>
              </w:rPr>
              <w:t>风阀及切换装置：电动风阀（DN300），切换响应时间≤3s，支持压入模式；</w:t>
            </w:r>
          </w:p>
          <w:p w14:paraId="6990A085">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4)</w:t>
            </w:r>
            <w:r>
              <w:rPr>
                <w:rFonts w:ascii="Times New Roman" w:hAnsi="Times New Roman" w:eastAsia="仿宋"/>
                <w:szCs w:val="21"/>
              </w:rPr>
              <w:t xml:space="preserve"> </w:t>
            </w:r>
            <w:r>
              <w:rPr>
                <w:rFonts w:hint="eastAsia" w:ascii="Times New Roman" w:hAnsi="Times New Roman" w:eastAsia="仿宋"/>
                <w:szCs w:val="21"/>
              </w:rPr>
              <w:t>通风管道：主管道DN300，配置相关接口，可切换全断面通风和局部通风，全断面通风接口尺寸为300mm×</w:t>
            </w:r>
            <w:r>
              <w:rPr>
                <w:rFonts w:ascii="Times New Roman" w:hAnsi="Times New Roman" w:eastAsia="仿宋"/>
                <w:szCs w:val="21"/>
              </w:rPr>
              <w:t>3</w:t>
            </w:r>
            <w:r>
              <w:rPr>
                <w:rFonts w:hint="eastAsia" w:ascii="Times New Roman" w:hAnsi="Times New Roman" w:eastAsia="仿宋"/>
                <w:szCs w:val="21"/>
              </w:rPr>
              <w:t>00mm，模拟过程中风速、风量、风温可分别调节；</w:t>
            </w:r>
            <w:r>
              <w:rPr>
                <w:rFonts w:hint="eastAsia" w:ascii="Times New Roman" w:hAnsi="Times New Roman" w:eastAsia="仿宋"/>
                <w:szCs w:val="21"/>
                <w:shd w:val="clear" w:color="auto" w:fill="FFFFFF"/>
              </w:rPr>
              <w:t>局部通风接口连接管径6cm管道，</w:t>
            </w:r>
            <w:r>
              <w:rPr>
                <w:rFonts w:hint="eastAsia" w:ascii="Times New Roman" w:hAnsi="Times New Roman" w:eastAsia="仿宋"/>
                <w:szCs w:val="21"/>
              </w:rPr>
              <w:t>且管道深入巷道中模拟风筒压入式通风，风速、风量、风温可分别调节，均需保证到达试样巷道口风流的流速与温度均稳定；</w:t>
            </w:r>
          </w:p>
        </w:tc>
      </w:tr>
      <w:tr w14:paraId="1C56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4" w:type="pct"/>
            <w:vMerge w:val="continue"/>
            <w:tcBorders>
              <w:left w:val="single" w:color="auto" w:sz="4" w:space="0"/>
              <w:bottom w:val="single" w:color="auto" w:sz="4" w:space="0"/>
              <w:right w:val="single" w:color="auto" w:sz="4" w:space="0"/>
            </w:tcBorders>
            <w:vAlign w:val="center"/>
          </w:tcPr>
          <w:p w14:paraId="5CE03220">
            <w:pPr>
              <w:adjustRightInd w:val="0"/>
              <w:snapToGrid w:val="0"/>
              <w:jc w:val="center"/>
              <w:rPr>
                <w:rFonts w:ascii="Times New Roman" w:hAnsi="Times New Roman" w:eastAsia="仿宋"/>
                <w:szCs w:val="21"/>
              </w:rPr>
            </w:pPr>
          </w:p>
        </w:tc>
        <w:tc>
          <w:tcPr>
            <w:tcW w:w="598" w:type="pct"/>
            <w:vMerge w:val="continue"/>
            <w:tcBorders>
              <w:left w:val="single" w:color="auto" w:sz="4" w:space="0"/>
              <w:bottom w:val="single" w:color="auto" w:sz="4" w:space="0"/>
              <w:right w:val="single" w:color="auto" w:sz="4" w:space="0"/>
            </w:tcBorders>
            <w:vAlign w:val="center"/>
          </w:tcPr>
          <w:p w14:paraId="1FEFCD38">
            <w:pPr>
              <w:adjustRightInd w:val="0"/>
              <w:snapToGrid w:val="0"/>
              <w:jc w:val="center"/>
              <w:rPr>
                <w:rFonts w:ascii="Times New Roman" w:hAnsi="Times New Roman" w:eastAsia="仿宋"/>
                <w:szCs w:val="21"/>
              </w:rPr>
            </w:pPr>
          </w:p>
        </w:tc>
        <w:tc>
          <w:tcPr>
            <w:tcW w:w="753" w:type="pct"/>
            <w:tcBorders>
              <w:top w:val="single" w:color="auto" w:sz="4" w:space="0"/>
              <w:left w:val="single" w:color="auto" w:sz="4" w:space="0"/>
              <w:right w:val="single" w:color="auto" w:sz="4" w:space="0"/>
            </w:tcBorders>
            <w:vAlign w:val="center"/>
          </w:tcPr>
          <w:p w14:paraId="4DA09DC8">
            <w:pPr>
              <w:adjustRightInd w:val="0"/>
              <w:snapToGrid w:val="0"/>
              <w:jc w:val="center"/>
              <w:rPr>
                <w:rFonts w:ascii="Times New Roman" w:hAnsi="Times New Roman" w:eastAsia="仿宋"/>
                <w:szCs w:val="21"/>
              </w:rPr>
            </w:pPr>
            <w:r>
              <w:rPr>
                <w:rFonts w:hint="eastAsia" w:ascii="Times New Roman" w:hAnsi="Times New Roman" w:eastAsia="仿宋"/>
                <w:szCs w:val="21"/>
              </w:rPr>
              <w:t>监控系统</w:t>
            </w:r>
          </w:p>
        </w:tc>
        <w:tc>
          <w:tcPr>
            <w:tcW w:w="3225" w:type="pct"/>
            <w:tcBorders>
              <w:top w:val="single" w:color="auto" w:sz="4" w:space="0"/>
              <w:left w:val="single" w:color="auto" w:sz="4" w:space="0"/>
              <w:right w:val="single" w:color="auto" w:sz="4" w:space="0"/>
            </w:tcBorders>
            <w:vAlign w:val="center"/>
          </w:tcPr>
          <w:p w14:paraId="25D1E397">
            <w:pPr>
              <w:adjustRightInd w:val="0"/>
              <w:snapToGrid w:val="0"/>
              <w:rPr>
                <w:rFonts w:ascii="Times New Roman" w:hAnsi="Times New Roman" w:eastAsia="仿宋"/>
                <w:szCs w:val="21"/>
              </w:rPr>
            </w:pPr>
            <w:r>
              <w:rPr>
                <w:rFonts w:ascii="Times New Roman" w:hAnsi="Times New Roman" w:eastAsia="仿宋"/>
                <w:szCs w:val="21"/>
              </w:rPr>
              <w:t>监控系统作为整个试验系统的控制核心，实时采集试验过程中的各类参数，同步分析数据并反馈调控，及时预警异常情况，避免试验故障</w:t>
            </w:r>
            <w:r>
              <w:rPr>
                <w:rFonts w:hint="eastAsia" w:ascii="Times New Roman" w:hAnsi="Times New Roman" w:eastAsia="仿宋"/>
                <w:szCs w:val="21"/>
              </w:rPr>
              <w:t>，</w:t>
            </w:r>
            <w:r>
              <w:rPr>
                <w:rFonts w:ascii="Times New Roman" w:hAnsi="Times New Roman" w:eastAsia="仿宋"/>
                <w:szCs w:val="21"/>
              </w:rPr>
              <w:t>实现各功能模块的集中管控与模式切换</w:t>
            </w:r>
            <w:r>
              <w:rPr>
                <w:rFonts w:hint="eastAsia" w:ascii="Times New Roman" w:hAnsi="Times New Roman" w:eastAsia="仿宋"/>
                <w:szCs w:val="21"/>
              </w:rPr>
              <w:t>，具体参数如下：</w:t>
            </w:r>
          </w:p>
          <w:p w14:paraId="0014DAD8">
            <w:pPr>
              <w:adjustRightInd w:val="0"/>
              <w:snapToGrid w:val="0"/>
              <w:rPr>
                <w:rFonts w:ascii="Times New Roman" w:hAnsi="Times New Roman" w:eastAsia="仿宋"/>
                <w:szCs w:val="21"/>
              </w:rPr>
            </w:pPr>
            <w:r>
              <w:rPr>
                <w:rFonts w:ascii="Times New Roman" w:hAnsi="Times New Roman" w:eastAsia="仿宋"/>
                <w:szCs w:val="21"/>
              </w:rPr>
              <w:t>(1)</w:t>
            </w:r>
            <w:r>
              <w:rPr>
                <w:rFonts w:hint="eastAsia" w:ascii="Times New Roman" w:hAnsi="Times New Roman" w:eastAsia="仿宋"/>
                <w:szCs w:val="21"/>
              </w:rPr>
              <w:t xml:space="preserve"> 各模块伺服闭环控制：</w:t>
            </w:r>
          </w:p>
          <w:p w14:paraId="3B1C52C8">
            <w:pPr>
              <w:adjustRightInd w:val="0"/>
              <w:snapToGrid w:val="0"/>
              <w:rPr>
                <w:rFonts w:ascii="Times New Roman" w:hAnsi="Times New Roman" w:eastAsia="仿宋"/>
                <w:szCs w:val="21"/>
              </w:rPr>
            </w:pPr>
            <w:r>
              <w:rPr>
                <w:rFonts w:hint="eastAsia" w:ascii="Times New Roman" w:hAnsi="Times New Roman" w:eastAsia="仿宋"/>
                <w:szCs w:val="21"/>
              </w:rPr>
              <w:t>可实现加热模块、通风模块、外接动态流体高压输出设备的伺服闭环控制，控制系统实现各模块控制目标值及其精度，采用独立运行、比例联动模式；</w:t>
            </w:r>
          </w:p>
          <w:p w14:paraId="48A092FB">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2) 过程数据实时采集：</w:t>
            </w:r>
          </w:p>
          <w:p w14:paraId="533383DE">
            <w:pPr>
              <w:adjustRightInd w:val="0"/>
              <w:snapToGrid w:val="0"/>
              <w:rPr>
                <w:rFonts w:ascii="Times New Roman" w:hAnsi="Times New Roman" w:eastAsia="仿宋"/>
                <w:szCs w:val="21"/>
              </w:rPr>
            </w:pPr>
            <w:r>
              <w:rPr>
                <w:rFonts w:hint="eastAsia" w:ascii="Times New Roman" w:hAnsi="Times New Roman" w:eastAsia="仿宋"/>
                <w:szCs w:val="21"/>
              </w:rPr>
              <w:t>能实现控制过程中各模块相关的温度、湿度、风速、流量和压力等参数的实时采集与存储，同时可基于TCP/IP通讯或RS485通讯进行外部采集系统的数据同步采集；</w:t>
            </w:r>
          </w:p>
          <w:p w14:paraId="7A56CFEF">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3) 支持控制界面/工艺界面/数据曲线3屏同步显示；</w:t>
            </w:r>
          </w:p>
          <w:p w14:paraId="6F74006D">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4) 报警类型：采集断线、超量程、通讯中断；加热过温、通风故障、渗流异常；过压、过载、漏电、模块冲突。</w:t>
            </w:r>
          </w:p>
          <w:p w14:paraId="5041587F">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5) 采集主机</w:t>
            </w:r>
            <w:r>
              <w:rPr>
                <w:rFonts w:ascii="Times New Roman" w:hAnsi="Times New Roman" w:eastAsia="仿宋"/>
                <w:szCs w:val="21"/>
              </w:rPr>
              <w:t>硬件</w:t>
            </w:r>
            <w:r>
              <w:rPr>
                <w:rFonts w:hint="eastAsia" w:ascii="Times New Roman" w:hAnsi="Times New Roman" w:eastAsia="仿宋"/>
                <w:szCs w:val="21"/>
              </w:rPr>
              <w:t>：</w:t>
            </w:r>
          </w:p>
          <w:p w14:paraId="75ECE690">
            <w:pPr>
              <w:adjustRightInd w:val="0"/>
              <w:snapToGrid w:val="0"/>
              <w:rPr>
                <w:rFonts w:ascii="Times New Roman" w:hAnsi="Times New Roman" w:eastAsia="仿宋"/>
                <w:szCs w:val="21"/>
              </w:rPr>
            </w:pPr>
            <w:r>
              <w:rPr>
                <w:rFonts w:hint="eastAsia" w:ascii="Times New Roman" w:hAnsi="Times New Roman" w:eastAsia="仿宋"/>
                <w:szCs w:val="21"/>
              </w:rPr>
              <w:t>①CPU不低于Intel i7-12700E性能；②通讯接口网口不低于2×千兆以太网，USB不低于4×USB3.0 + 2×USB2.0；③内存不低于64 GB；④显卡不低于英伟达独显8GB，显示接口3DP接口，支持3屏同步；⑤扩展槽不低于2×PCIe x16、2×PCIe x4，可插采集卡、串口扩展卡；⑥系统盘不低于512GB NVMe SSD，存储盘不低于2TB，鼠标键盘1套。</w:t>
            </w:r>
          </w:p>
        </w:tc>
      </w:tr>
      <w:tr w14:paraId="2B192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0" w:hRule="atLeast"/>
        </w:trPr>
        <w:tc>
          <w:tcPr>
            <w:tcW w:w="424" w:type="pct"/>
            <w:vMerge w:val="restart"/>
            <w:tcBorders>
              <w:left w:val="single" w:color="auto" w:sz="4" w:space="0"/>
              <w:right w:val="single" w:color="auto" w:sz="4" w:space="0"/>
            </w:tcBorders>
            <w:vAlign w:val="center"/>
          </w:tcPr>
          <w:p w14:paraId="2B74C1F2">
            <w:pPr>
              <w:adjustRightInd w:val="0"/>
              <w:snapToGrid w:val="0"/>
              <w:jc w:val="center"/>
              <w:rPr>
                <w:rFonts w:ascii="Times New Roman" w:hAnsi="Times New Roman" w:eastAsia="仿宋"/>
                <w:szCs w:val="21"/>
              </w:rPr>
            </w:pPr>
            <w:r>
              <w:rPr>
                <w:rFonts w:hint="eastAsia" w:ascii="Times New Roman" w:hAnsi="Times New Roman" w:eastAsia="仿宋"/>
                <w:szCs w:val="21"/>
              </w:rPr>
              <w:t>2</w:t>
            </w:r>
          </w:p>
        </w:tc>
        <w:tc>
          <w:tcPr>
            <w:tcW w:w="598" w:type="pct"/>
            <w:vMerge w:val="restart"/>
            <w:tcBorders>
              <w:left w:val="single" w:color="auto" w:sz="4" w:space="0"/>
              <w:right w:val="single" w:color="auto" w:sz="4" w:space="0"/>
            </w:tcBorders>
            <w:vAlign w:val="center"/>
          </w:tcPr>
          <w:p w14:paraId="39412F4A">
            <w:pPr>
              <w:adjustRightInd w:val="0"/>
              <w:snapToGrid w:val="0"/>
              <w:jc w:val="center"/>
              <w:rPr>
                <w:rFonts w:ascii="Times New Roman" w:hAnsi="Times New Roman" w:eastAsia="仿宋"/>
                <w:szCs w:val="21"/>
              </w:rPr>
            </w:pPr>
            <w:r>
              <w:rPr>
                <w:rFonts w:ascii="Times New Roman" w:hAnsi="Times New Roman" w:eastAsia="仿宋"/>
                <w:szCs w:val="21"/>
              </w:rPr>
              <w:t>动态流体高压输出设备</w:t>
            </w:r>
          </w:p>
        </w:tc>
        <w:tc>
          <w:tcPr>
            <w:tcW w:w="753" w:type="pct"/>
            <w:tcBorders>
              <w:top w:val="single" w:color="auto" w:sz="4" w:space="0"/>
              <w:left w:val="single" w:color="auto" w:sz="4" w:space="0"/>
              <w:right w:val="single" w:color="auto" w:sz="4" w:space="0"/>
            </w:tcBorders>
            <w:vAlign w:val="center"/>
          </w:tcPr>
          <w:p w14:paraId="14C00393">
            <w:pPr>
              <w:adjustRightInd w:val="0"/>
              <w:snapToGrid w:val="0"/>
              <w:jc w:val="center"/>
              <w:rPr>
                <w:rFonts w:ascii="Times New Roman" w:hAnsi="Times New Roman" w:eastAsia="仿宋"/>
                <w:szCs w:val="21"/>
              </w:rPr>
            </w:pPr>
            <w:r>
              <w:rPr>
                <w:rFonts w:hint="eastAsia" w:ascii="Times New Roman" w:hAnsi="Times New Roman" w:eastAsia="仿宋"/>
                <w:szCs w:val="21"/>
              </w:rPr>
              <w:t>恒温水浴箱</w:t>
            </w:r>
          </w:p>
        </w:tc>
        <w:tc>
          <w:tcPr>
            <w:tcW w:w="3225" w:type="pct"/>
            <w:tcBorders>
              <w:top w:val="single" w:color="auto" w:sz="4" w:space="0"/>
              <w:left w:val="single" w:color="auto" w:sz="4" w:space="0"/>
              <w:right w:val="single" w:color="auto" w:sz="4" w:space="0"/>
            </w:tcBorders>
            <w:vAlign w:val="center"/>
          </w:tcPr>
          <w:p w14:paraId="2555E224">
            <w:pPr>
              <w:adjustRightInd w:val="0"/>
              <w:snapToGrid w:val="0"/>
              <w:rPr>
                <w:rFonts w:ascii="Times New Roman" w:hAnsi="Times New Roman" w:eastAsia="仿宋"/>
                <w:szCs w:val="21"/>
              </w:rPr>
            </w:pPr>
            <w:r>
              <w:rPr>
                <w:rFonts w:ascii="Times New Roman" w:hAnsi="Times New Roman" w:eastAsia="仿宋"/>
                <w:szCs w:val="21"/>
              </w:rPr>
              <w:t>提供稳定温度的试验用水，保障流体温度可控，为模拟深循环热水环境提供恒温水源支撑</w:t>
            </w:r>
            <w:r>
              <w:rPr>
                <w:rFonts w:hint="eastAsia" w:ascii="Times New Roman" w:hAnsi="Times New Roman" w:eastAsia="仿宋"/>
                <w:szCs w:val="21"/>
              </w:rPr>
              <w:t>，具体参数如下：</w:t>
            </w:r>
          </w:p>
          <w:p w14:paraId="6AD13A58">
            <w:pPr>
              <w:adjustRightInd w:val="0"/>
              <w:snapToGrid w:val="0"/>
              <w:rPr>
                <w:rFonts w:ascii="Times New Roman" w:hAnsi="Times New Roman" w:eastAsia="仿宋"/>
                <w:szCs w:val="21"/>
              </w:rPr>
            </w:pPr>
            <w:r>
              <w:rPr>
                <w:rFonts w:ascii="Times New Roman" w:hAnsi="Times New Roman" w:eastAsia="仿宋"/>
                <w:szCs w:val="21"/>
              </w:rPr>
              <w:t xml:space="preserve">(1) </w:t>
            </w:r>
            <w:r>
              <w:rPr>
                <w:rFonts w:hint="eastAsia" w:ascii="Times New Roman" w:hAnsi="Times New Roman" w:eastAsia="仿宋"/>
                <w:szCs w:val="21"/>
              </w:rPr>
              <w:t>600L水箱1个（含粗过滤），出口设置流量监测；</w:t>
            </w:r>
          </w:p>
          <w:p w14:paraId="77B835CE">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2)</w:t>
            </w:r>
            <w:r>
              <w:rPr>
                <w:rFonts w:ascii="Times New Roman" w:hAnsi="Times New Roman" w:eastAsia="仿宋"/>
                <w:szCs w:val="21"/>
              </w:rPr>
              <w:t xml:space="preserve"> </w:t>
            </w:r>
            <w:r>
              <w:rPr>
                <w:rFonts w:hint="eastAsia" w:ascii="Times New Roman" w:hAnsi="Times New Roman" w:eastAsia="仿宋"/>
                <w:szCs w:val="21"/>
              </w:rPr>
              <w:t>300L水箱1个（含粗过滤），出口设置流量监测；</w:t>
            </w:r>
          </w:p>
          <w:p w14:paraId="70F51924">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3)</w:t>
            </w:r>
            <w:r>
              <w:rPr>
                <w:rFonts w:ascii="Times New Roman" w:hAnsi="Times New Roman" w:eastAsia="仿宋"/>
                <w:szCs w:val="21"/>
              </w:rPr>
              <w:t xml:space="preserve"> </w:t>
            </w:r>
            <w:r>
              <w:rPr>
                <w:rFonts w:hint="eastAsia" w:ascii="Times New Roman" w:hAnsi="Times New Roman" w:eastAsia="仿宋"/>
                <w:szCs w:val="21"/>
              </w:rPr>
              <w:t>回水箱1个（含2级过滤），入口设置流量监测；</w:t>
            </w:r>
          </w:p>
          <w:p w14:paraId="05D27D48">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4) 温度调节范围：</w:t>
            </w:r>
            <w:r>
              <w:rPr>
                <w:rFonts w:ascii="Times New Roman" w:hAnsi="Times New Roman" w:eastAsia="仿宋"/>
                <w:szCs w:val="21"/>
              </w:rPr>
              <w:t>25~80</w:t>
            </w:r>
            <w:r>
              <w:rPr>
                <w:rFonts w:hint="eastAsia" w:ascii="Times New Roman" w:hAnsi="Times New Roman" w:eastAsia="仿宋"/>
                <w:szCs w:val="21"/>
              </w:rPr>
              <w:t>℃±0.5℃；</w:t>
            </w:r>
          </w:p>
          <w:p w14:paraId="771CE8BA">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5)</w:t>
            </w:r>
            <w:r>
              <w:rPr>
                <w:rFonts w:ascii="Times New Roman" w:hAnsi="Times New Roman" w:eastAsia="仿宋"/>
                <w:szCs w:val="21"/>
              </w:rPr>
              <w:t xml:space="preserve"> </w:t>
            </w:r>
            <w:r>
              <w:rPr>
                <w:rFonts w:hint="eastAsia" w:ascii="Times New Roman" w:hAnsi="Times New Roman" w:eastAsia="仿宋"/>
                <w:szCs w:val="21"/>
              </w:rPr>
              <w:t>配备温控器和温度显示器，内置内循环泵可以驱使上下层进行被迫对流，盘管长度需要保证换热充分。</w:t>
            </w:r>
          </w:p>
        </w:tc>
      </w:tr>
      <w:tr w14:paraId="7248F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424" w:type="pct"/>
            <w:vMerge w:val="continue"/>
            <w:tcBorders>
              <w:left w:val="single" w:color="auto" w:sz="4" w:space="0"/>
              <w:right w:val="single" w:color="auto" w:sz="4" w:space="0"/>
            </w:tcBorders>
            <w:vAlign w:val="center"/>
          </w:tcPr>
          <w:p w14:paraId="7E5CD127">
            <w:pPr>
              <w:jc w:val="left"/>
              <w:rPr>
                <w:rFonts w:ascii="Times New Roman" w:hAnsi="Times New Roman" w:eastAsia="仿宋"/>
                <w:szCs w:val="21"/>
              </w:rPr>
            </w:pPr>
          </w:p>
        </w:tc>
        <w:tc>
          <w:tcPr>
            <w:tcW w:w="598" w:type="pct"/>
            <w:vMerge w:val="continue"/>
            <w:tcBorders>
              <w:left w:val="single" w:color="auto" w:sz="4" w:space="0"/>
              <w:right w:val="single" w:color="auto" w:sz="4" w:space="0"/>
            </w:tcBorders>
            <w:vAlign w:val="center"/>
          </w:tcPr>
          <w:p w14:paraId="49D0D22F">
            <w:pPr>
              <w:jc w:val="left"/>
              <w:rPr>
                <w:rFonts w:ascii="Times New Roman" w:hAnsi="Times New Roman" w:eastAsia="仿宋"/>
                <w:szCs w:val="21"/>
              </w:rPr>
            </w:pPr>
          </w:p>
        </w:tc>
        <w:tc>
          <w:tcPr>
            <w:tcW w:w="753" w:type="pct"/>
            <w:tcBorders>
              <w:top w:val="single" w:color="auto" w:sz="4" w:space="0"/>
              <w:left w:val="single" w:color="auto" w:sz="4" w:space="0"/>
              <w:right w:val="single" w:color="auto" w:sz="4" w:space="0"/>
            </w:tcBorders>
            <w:vAlign w:val="center"/>
          </w:tcPr>
          <w:p w14:paraId="6B1C2937">
            <w:pPr>
              <w:adjustRightInd w:val="0"/>
              <w:snapToGrid w:val="0"/>
              <w:jc w:val="center"/>
              <w:rPr>
                <w:rFonts w:ascii="Times New Roman" w:hAnsi="Times New Roman" w:eastAsia="仿宋"/>
                <w:szCs w:val="21"/>
              </w:rPr>
            </w:pPr>
            <w:r>
              <w:rPr>
                <w:rFonts w:hint="eastAsia" w:ascii="Times New Roman" w:hAnsi="Times New Roman" w:eastAsia="仿宋"/>
                <w:szCs w:val="21"/>
              </w:rPr>
              <w:t>泵与管道系统</w:t>
            </w:r>
          </w:p>
        </w:tc>
        <w:tc>
          <w:tcPr>
            <w:tcW w:w="3225" w:type="pct"/>
            <w:tcBorders>
              <w:top w:val="single" w:color="auto" w:sz="4" w:space="0"/>
              <w:left w:val="single" w:color="auto" w:sz="4" w:space="0"/>
              <w:right w:val="single" w:color="auto" w:sz="4" w:space="0"/>
            </w:tcBorders>
            <w:vAlign w:val="center"/>
          </w:tcPr>
          <w:p w14:paraId="32662282">
            <w:pPr>
              <w:adjustRightInd w:val="0"/>
              <w:snapToGrid w:val="0"/>
              <w:rPr>
                <w:rFonts w:ascii="Times New Roman" w:hAnsi="Times New Roman" w:eastAsia="仿宋"/>
                <w:szCs w:val="21"/>
              </w:rPr>
            </w:pPr>
            <w:r>
              <w:rPr>
                <w:rFonts w:ascii="Times New Roman" w:hAnsi="Times New Roman" w:eastAsia="仿宋"/>
                <w:szCs w:val="21"/>
              </w:rPr>
              <w:t>精准调控流体的压力、流量，实现压力梯度与恒流控制，模拟不同深部流体动力条件，保障渗流试验的精准性</w:t>
            </w:r>
            <w:r>
              <w:rPr>
                <w:rFonts w:hint="eastAsia" w:ascii="Times New Roman" w:hAnsi="Times New Roman" w:eastAsia="仿宋"/>
                <w:szCs w:val="21"/>
              </w:rPr>
              <w:t>；具体参数如下：</w:t>
            </w:r>
          </w:p>
          <w:p w14:paraId="1346B510">
            <w:pPr>
              <w:adjustRightInd w:val="0"/>
              <w:snapToGrid w:val="0"/>
              <w:rPr>
                <w:rFonts w:ascii="Times New Roman" w:hAnsi="Times New Roman" w:eastAsia="仿宋"/>
                <w:szCs w:val="21"/>
              </w:rPr>
            </w:pPr>
            <w:r>
              <w:rPr>
                <w:rFonts w:hint="eastAsia" w:ascii="Times New Roman" w:hAnsi="Times New Roman" w:eastAsia="仿宋"/>
                <w:szCs w:val="21"/>
              </w:rPr>
              <w:t>(1) 渗水泵与管道系统：</w:t>
            </w:r>
          </w:p>
          <w:p w14:paraId="1A9CE681">
            <w:pPr>
              <w:adjustRightInd w:val="0"/>
              <w:snapToGrid w:val="0"/>
              <w:rPr>
                <w:rFonts w:ascii="Times New Roman" w:hAnsi="Times New Roman" w:eastAsia="仿宋"/>
                <w:szCs w:val="21"/>
              </w:rPr>
            </w:pPr>
            <w:r>
              <w:rPr>
                <w:rFonts w:hint="eastAsia" w:ascii="Times New Roman" w:hAnsi="Times New Roman" w:eastAsia="仿宋"/>
                <w:szCs w:val="21"/>
              </w:rPr>
              <w:t>①水泵1台，</w:t>
            </w:r>
            <w:r>
              <w:rPr>
                <w:rFonts w:ascii="Times New Roman" w:hAnsi="Times New Roman" w:eastAsia="仿宋"/>
                <w:szCs w:val="21"/>
              </w:rPr>
              <w:t>压力</w:t>
            </w:r>
            <w:r>
              <w:rPr>
                <w:rFonts w:hint="eastAsia" w:ascii="Times New Roman" w:hAnsi="Times New Roman" w:eastAsia="仿宋"/>
                <w:szCs w:val="21"/>
              </w:rPr>
              <w:t>0~5M</w:t>
            </w:r>
            <w:r>
              <w:rPr>
                <w:rFonts w:ascii="Times New Roman" w:hAnsi="Times New Roman" w:eastAsia="仿宋"/>
                <w:szCs w:val="21"/>
              </w:rPr>
              <w:t>Pa，流量</w:t>
            </w:r>
            <w:r>
              <w:rPr>
                <w:rFonts w:hint="eastAsia" w:ascii="Times New Roman" w:hAnsi="Times New Roman" w:eastAsia="仿宋"/>
                <w:szCs w:val="21"/>
              </w:rPr>
              <w:t>0.3~4</w:t>
            </w:r>
            <w:r>
              <w:rPr>
                <w:rFonts w:ascii="Times New Roman" w:hAnsi="Times New Roman" w:eastAsia="仿宋"/>
                <w:szCs w:val="21"/>
              </w:rPr>
              <w:t>L/h</w:t>
            </w:r>
            <w:r>
              <w:rPr>
                <w:rFonts w:hint="eastAsia" w:ascii="Times New Roman" w:hAnsi="Times New Roman" w:eastAsia="仿宋"/>
                <w:szCs w:val="21"/>
              </w:rPr>
              <w:t>，需变频控制，且可持续工作7天以上；②渗水分配器：材质304不锈钢，4通道6mm管道，主进口DN25；③每通道配</w:t>
            </w:r>
            <w:r>
              <w:rPr>
                <w:rFonts w:ascii="Times New Roman" w:hAnsi="Times New Roman" w:eastAsia="仿宋"/>
                <w:szCs w:val="21"/>
              </w:rPr>
              <w:t>0</w:t>
            </w:r>
            <w:r>
              <w:rPr>
                <w:rFonts w:hint="eastAsia" w:ascii="Times New Roman" w:hAnsi="Times New Roman" w:eastAsia="仿宋"/>
                <w:szCs w:val="21"/>
              </w:rPr>
              <w:t>~10</w:t>
            </w:r>
            <w:r>
              <w:rPr>
                <w:rFonts w:ascii="Times New Roman" w:hAnsi="Times New Roman" w:eastAsia="仿宋"/>
                <w:szCs w:val="21"/>
              </w:rPr>
              <w:t>L/h</w:t>
            </w:r>
            <w:r>
              <w:rPr>
                <w:rFonts w:hint="eastAsia" w:ascii="Times New Roman" w:hAnsi="Times New Roman" w:eastAsia="仿宋"/>
                <w:szCs w:val="21"/>
              </w:rPr>
              <w:t>±0.5%FS流量监测接口，0~5M</w:t>
            </w:r>
            <w:r>
              <w:rPr>
                <w:rFonts w:ascii="Times New Roman" w:hAnsi="Times New Roman" w:eastAsia="仿宋"/>
                <w:szCs w:val="21"/>
              </w:rPr>
              <w:t>Pa</w:t>
            </w:r>
            <w:r>
              <w:rPr>
                <w:rFonts w:hint="eastAsia" w:ascii="Times New Roman" w:hAnsi="Times New Roman" w:eastAsia="仿宋"/>
                <w:szCs w:val="21"/>
              </w:rPr>
              <w:t>±0.5%FS压力监测接口，10~60℃±0.5℃流体温度监测接口及电动调节阀，连接4个渗水接口。</w:t>
            </w:r>
          </w:p>
          <w:p w14:paraId="1043A57A">
            <w:pPr>
              <w:adjustRightInd w:val="0"/>
              <w:snapToGrid w:val="0"/>
              <w:rPr>
                <w:rFonts w:ascii="Times New Roman" w:hAnsi="Times New Roman" w:eastAsia="仿宋"/>
                <w:szCs w:val="21"/>
              </w:rPr>
            </w:pPr>
            <w:r>
              <w:rPr>
                <w:rFonts w:hint="eastAsia" w:ascii="Times New Roman" w:hAnsi="Times New Roman" w:eastAsia="仿宋"/>
                <w:szCs w:val="21"/>
              </w:rPr>
              <w:t>(2) 涌水泵与管道系统：</w:t>
            </w:r>
          </w:p>
          <w:p w14:paraId="0E2FFF28">
            <w:pPr>
              <w:adjustRightInd w:val="0"/>
              <w:snapToGrid w:val="0"/>
              <w:rPr>
                <w:rFonts w:ascii="Times New Roman" w:hAnsi="Times New Roman" w:eastAsia="仿宋"/>
                <w:szCs w:val="21"/>
              </w:rPr>
            </w:pPr>
            <w:r>
              <w:rPr>
                <w:rFonts w:hint="eastAsia" w:ascii="Times New Roman" w:hAnsi="Times New Roman" w:eastAsia="仿宋"/>
                <w:szCs w:val="21"/>
              </w:rPr>
              <w:t>①水泵1台，</w:t>
            </w:r>
            <w:r>
              <w:rPr>
                <w:rFonts w:ascii="Times New Roman" w:hAnsi="Times New Roman" w:eastAsia="仿宋"/>
                <w:szCs w:val="21"/>
              </w:rPr>
              <w:t>压力</w:t>
            </w:r>
            <w:r>
              <w:rPr>
                <w:rFonts w:hint="eastAsia" w:ascii="Times New Roman" w:hAnsi="Times New Roman" w:eastAsia="仿宋"/>
                <w:szCs w:val="21"/>
              </w:rPr>
              <w:t>0~5M</w:t>
            </w:r>
            <w:r>
              <w:rPr>
                <w:rFonts w:ascii="Times New Roman" w:hAnsi="Times New Roman" w:eastAsia="仿宋"/>
                <w:szCs w:val="21"/>
              </w:rPr>
              <w:t>Pa，流量</w:t>
            </w:r>
            <w:r>
              <w:rPr>
                <w:rFonts w:hint="eastAsia" w:ascii="Times New Roman" w:hAnsi="Times New Roman" w:eastAsia="仿宋"/>
                <w:szCs w:val="21"/>
              </w:rPr>
              <w:t>10~180</w:t>
            </w:r>
            <w:r>
              <w:rPr>
                <w:rFonts w:ascii="Times New Roman" w:hAnsi="Times New Roman" w:eastAsia="仿宋"/>
                <w:szCs w:val="21"/>
              </w:rPr>
              <w:t>L/h</w:t>
            </w:r>
            <w:r>
              <w:rPr>
                <w:rFonts w:hint="eastAsia" w:ascii="Times New Roman" w:hAnsi="Times New Roman" w:eastAsia="仿宋"/>
                <w:szCs w:val="21"/>
              </w:rPr>
              <w:t>，需变频控制，且可持续工作7天以上；②涌水分配器：材质304不锈钢，4通道6mm管道，主进口DN25；③每通道配10~120</w:t>
            </w:r>
            <w:r>
              <w:rPr>
                <w:rFonts w:ascii="Times New Roman" w:hAnsi="Times New Roman" w:eastAsia="仿宋"/>
                <w:szCs w:val="21"/>
              </w:rPr>
              <w:t>L/h</w:t>
            </w:r>
            <w:r>
              <w:rPr>
                <w:rFonts w:hint="eastAsia" w:ascii="Times New Roman" w:hAnsi="Times New Roman" w:eastAsia="仿宋"/>
                <w:szCs w:val="21"/>
              </w:rPr>
              <w:t>±0.5%FS流量监测接口，0~5M</w:t>
            </w:r>
            <w:r>
              <w:rPr>
                <w:rFonts w:ascii="Times New Roman" w:hAnsi="Times New Roman" w:eastAsia="仿宋"/>
                <w:szCs w:val="21"/>
              </w:rPr>
              <w:t>Pa</w:t>
            </w:r>
            <w:r>
              <w:rPr>
                <w:rFonts w:hint="eastAsia" w:ascii="Times New Roman" w:hAnsi="Times New Roman" w:eastAsia="仿宋"/>
                <w:szCs w:val="21"/>
              </w:rPr>
              <w:t>±0.5%FS压力监测接口，10~60℃±0.5℃流体温度监测接口及电动调节阀，连接4个涌水接口。</w:t>
            </w:r>
          </w:p>
          <w:p w14:paraId="625C6018">
            <w:pPr>
              <w:adjustRightInd w:val="0"/>
              <w:snapToGrid w:val="0"/>
              <w:rPr>
                <w:rFonts w:ascii="Times New Roman" w:hAnsi="Times New Roman" w:eastAsia="仿宋"/>
                <w:szCs w:val="21"/>
              </w:rPr>
            </w:pPr>
            <w:r>
              <w:rPr>
                <w:rFonts w:hint="eastAsia" w:ascii="Times New Roman" w:hAnsi="Times New Roman" w:eastAsia="仿宋"/>
                <w:szCs w:val="21"/>
              </w:rPr>
              <w:t>(3) 辅助管道配件：</w:t>
            </w:r>
          </w:p>
          <w:p w14:paraId="0CDF6C43">
            <w:pPr>
              <w:adjustRightInd w:val="0"/>
              <w:snapToGrid w:val="0"/>
              <w:rPr>
                <w:rFonts w:ascii="Times New Roman" w:hAnsi="Times New Roman" w:eastAsia="仿宋"/>
                <w:szCs w:val="21"/>
              </w:rPr>
            </w:pPr>
            <w:r>
              <w:rPr>
                <w:rFonts w:hint="eastAsia" w:ascii="Times New Roman" w:hAnsi="Times New Roman" w:eastAsia="仿宋"/>
                <w:szCs w:val="21"/>
              </w:rPr>
              <w:t>设置有辅助管道，用于连接恒温水浴箱、渗水泵与管道系统、涌水泵与管道系统，600L水箱、300L水箱和回水箱。</w:t>
            </w:r>
          </w:p>
        </w:tc>
      </w:tr>
      <w:tr w14:paraId="5E62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424" w:type="pct"/>
            <w:vMerge w:val="continue"/>
            <w:tcBorders>
              <w:left w:val="single" w:color="auto" w:sz="4" w:space="0"/>
              <w:bottom w:val="single" w:color="auto" w:sz="4" w:space="0"/>
              <w:right w:val="single" w:color="auto" w:sz="4" w:space="0"/>
            </w:tcBorders>
            <w:vAlign w:val="center"/>
          </w:tcPr>
          <w:p w14:paraId="7528D2A5">
            <w:pPr>
              <w:jc w:val="left"/>
              <w:rPr>
                <w:rFonts w:ascii="Times New Roman" w:hAnsi="Times New Roman" w:eastAsia="仿宋"/>
                <w:szCs w:val="21"/>
              </w:rPr>
            </w:pPr>
          </w:p>
        </w:tc>
        <w:tc>
          <w:tcPr>
            <w:tcW w:w="598" w:type="pct"/>
            <w:vMerge w:val="continue"/>
            <w:tcBorders>
              <w:left w:val="single" w:color="auto" w:sz="4" w:space="0"/>
              <w:bottom w:val="single" w:color="auto" w:sz="4" w:space="0"/>
              <w:right w:val="single" w:color="auto" w:sz="4" w:space="0"/>
            </w:tcBorders>
            <w:vAlign w:val="center"/>
          </w:tcPr>
          <w:p w14:paraId="3A2605F1">
            <w:pPr>
              <w:jc w:val="left"/>
              <w:rPr>
                <w:rFonts w:ascii="Times New Roman" w:hAnsi="Times New Roman" w:eastAsia="仿宋"/>
                <w:szCs w:val="21"/>
              </w:rPr>
            </w:pPr>
          </w:p>
        </w:tc>
        <w:tc>
          <w:tcPr>
            <w:tcW w:w="753" w:type="pct"/>
            <w:tcBorders>
              <w:top w:val="single" w:color="auto" w:sz="4" w:space="0"/>
              <w:left w:val="single" w:color="auto" w:sz="4" w:space="0"/>
              <w:right w:val="single" w:color="auto" w:sz="4" w:space="0"/>
            </w:tcBorders>
            <w:vAlign w:val="center"/>
          </w:tcPr>
          <w:p w14:paraId="5FBECE15">
            <w:pPr>
              <w:adjustRightInd w:val="0"/>
              <w:snapToGrid w:val="0"/>
              <w:jc w:val="center"/>
              <w:rPr>
                <w:rFonts w:ascii="Times New Roman" w:hAnsi="Times New Roman" w:eastAsia="仿宋"/>
                <w:szCs w:val="21"/>
              </w:rPr>
            </w:pPr>
            <w:r>
              <w:rPr>
                <w:rFonts w:hint="eastAsia" w:ascii="Times New Roman" w:hAnsi="Times New Roman" w:eastAsia="仿宋"/>
                <w:szCs w:val="21"/>
              </w:rPr>
              <w:t>控制系统</w:t>
            </w:r>
          </w:p>
        </w:tc>
        <w:tc>
          <w:tcPr>
            <w:tcW w:w="3225" w:type="pct"/>
            <w:tcBorders>
              <w:top w:val="single" w:color="auto" w:sz="4" w:space="0"/>
              <w:left w:val="single" w:color="auto" w:sz="4" w:space="0"/>
              <w:right w:val="single" w:color="auto" w:sz="4" w:space="0"/>
            </w:tcBorders>
            <w:vAlign w:val="center"/>
          </w:tcPr>
          <w:p w14:paraId="35F4EC2C">
            <w:pPr>
              <w:adjustRightInd w:val="0"/>
              <w:snapToGrid w:val="0"/>
              <w:rPr>
                <w:rFonts w:ascii="Times New Roman" w:hAnsi="Times New Roman" w:eastAsia="仿宋"/>
                <w:szCs w:val="21"/>
              </w:rPr>
            </w:pPr>
            <w:r>
              <w:rPr>
                <w:rFonts w:hint="eastAsia" w:ascii="Times New Roman" w:hAnsi="Times New Roman" w:eastAsia="仿宋"/>
                <w:szCs w:val="21"/>
              </w:rPr>
              <w:t>控制系统</w:t>
            </w:r>
            <w:r>
              <w:rPr>
                <w:rFonts w:ascii="Times New Roman" w:hAnsi="Times New Roman" w:eastAsia="仿宋"/>
                <w:szCs w:val="21"/>
              </w:rPr>
              <w:t>复现深部岩体顶板渗水、底板涌水的真实场景，以及两者协同作用的工况，满足不同渗流条件下的试验需求</w:t>
            </w:r>
            <w:r>
              <w:rPr>
                <w:rFonts w:hint="eastAsia" w:ascii="Times New Roman" w:hAnsi="Times New Roman" w:eastAsia="仿宋"/>
                <w:szCs w:val="21"/>
              </w:rPr>
              <w:t>，具体参数如下：</w:t>
            </w:r>
          </w:p>
          <w:p w14:paraId="10152715">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1</w:t>
            </w:r>
            <w:r>
              <w:rPr>
                <w:rFonts w:ascii="Times New Roman" w:hAnsi="Times New Roman" w:eastAsia="仿宋"/>
                <w:szCs w:val="21"/>
              </w:rPr>
              <w:t xml:space="preserve">) </w:t>
            </w:r>
            <w:r>
              <w:rPr>
                <w:rFonts w:hint="eastAsia" w:ascii="Times New Roman" w:hAnsi="Times New Roman" w:eastAsia="仿宋"/>
                <w:szCs w:val="21"/>
              </w:rPr>
              <w:t>流量控制：</w:t>
            </w:r>
          </w:p>
          <w:p w14:paraId="168914F7">
            <w:pPr>
              <w:adjustRightInd w:val="0"/>
              <w:snapToGrid w:val="0"/>
              <w:rPr>
                <w:rFonts w:ascii="Times New Roman" w:hAnsi="Times New Roman" w:eastAsia="仿宋"/>
                <w:szCs w:val="21"/>
              </w:rPr>
            </w:pPr>
            <w:r>
              <w:rPr>
                <w:rFonts w:hint="eastAsia" w:ascii="Times New Roman" w:hAnsi="Times New Roman" w:eastAsia="仿宋"/>
                <w:szCs w:val="21"/>
              </w:rPr>
              <w:t>配备专用的操作柜与操作软件，能实现恒流量保持；水流输出稳定，控制精度±0.1L/min；</w:t>
            </w:r>
          </w:p>
          <w:p w14:paraId="23F61462">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2)</w:t>
            </w:r>
            <w:r>
              <w:rPr>
                <w:rFonts w:ascii="Times New Roman" w:hAnsi="Times New Roman" w:eastAsia="仿宋"/>
                <w:szCs w:val="21"/>
              </w:rPr>
              <w:t xml:space="preserve"> </w:t>
            </w:r>
            <w:r>
              <w:rPr>
                <w:rFonts w:hint="eastAsia" w:ascii="Times New Roman" w:hAnsi="Times New Roman" w:eastAsia="仿宋"/>
                <w:szCs w:val="21"/>
              </w:rPr>
              <w:t>数据采集频率0~10Hz可调，实时采集压力与流量数据，在向巷道通水之前需要使用流量计进行实际流量的观测和校准，待流量稳定后再向裂隙内注入。</w:t>
            </w:r>
          </w:p>
          <w:p w14:paraId="3278C679">
            <w:pPr>
              <w:adjustRightInd w:val="0"/>
              <w:snapToGrid w:val="0"/>
              <w:rPr>
                <w:rFonts w:ascii="Times New Roman" w:hAnsi="Times New Roman" w:eastAsia="仿宋"/>
                <w:szCs w:val="21"/>
              </w:rPr>
            </w:pPr>
            <w:r>
              <w:rPr>
                <w:rFonts w:hint="eastAsia" w:ascii="Times New Roman" w:hAnsi="Times New Roman" w:eastAsia="仿宋"/>
                <w:szCs w:val="21"/>
              </w:rPr>
              <w:t>(3)实现渗水独立、涌水独立、渗水涌水协同多种渗流模式切换。</w:t>
            </w:r>
          </w:p>
        </w:tc>
      </w:tr>
      <w:tr w14:paraId="17D77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6" w:hRule="atLeast"/>
        </w:trPr>
        <w:tc>
          <w:tcPr>
            <w:tcW w:w="424" w:type="pct"/>
            <w:vMerge w:val="restart"/>
            <w:tcBorders>
              <w:left w:val="single" w:color="auto" w:sz="4" w:space="0"/>
              <w:right w:val="single" w:color="auto" w:sz="4" w:space="0"/>
            </w:tcBorders>
            <w:vAlign w:val="center"/>
          </w:tcPr>
          <w:p w14:paraId="1314CFC5">
            <w:pPr>
              <w:adjustRightInd w:val="0"/>
              <w:snapToGrid w:val="0"/>
              <w:jc w:val="center"/>
              <w:rPr>
                <w:rFonts w:ascii="Times New Roman" w:hAnsi="Times New Roman" w:eastAsia="仿宋"/>
                <w:szCs w:val="21"/>
              </w:rPr>
            </w:pPr>
            <w:r>
              <w:rPr>
                <w:rFonts w:hint="eastAsia" w:ascii="Times New Roman" w:hAnsi="Times New Roman" w:eastAsia="仿宋"/>
                <w:szCs w:val="21"/>
              </w:rPr>
              <w:t>3</w:t>
            </w:r>
          </w:p>
        </w:tc>
        <w:tc>
          <w:tcPr>
            <w:tcW w:w="598" w:type="pct"/>
            <w:vMerge w:val="restart"/>
            <w:tcBorders>
              <w:left w:val="single" w:color="auto" w:sz="4" w:space="0"/>
              <w:right w:val="single" w:color="auto" w:sz="4" w:space="0"/>
            </w:tcBorders>
            <w:vAlign w:val="center"/>
          </w:tcPr>
          <w:p w14:paraId="207363F4">
            <w:pPr>
              <w:adjustRightInd w:val="0"/>
              <w:snapToGrid w:val="0"/>
              <w:jc w:val="center"/>
              <w:rPr>
                <w:rFonts w:ascii="Times New Roman" w:hAnsi="Times New Roman" w:eastAsia="仿宋"/>
                <w:szCs w:val="21"/>
              </w:rPr>
            </w:pPr>
            <w:r>
              <w:rPr>
                <w:rFonts w:hint="eastAsia" w:ascii="Times New Roman" w:hAnsi="Times New Roman" w:eastAsia="仿宋"/>
                <w:szCs w:val="21"/>
              </w:rPr>
              <w:t>复合隔热模具</w:t>
            </w:r>
          </w:p>
        </w:tc>
        <w:tc>
          <w:tcPr>
            <w:tcW w:w="753" w:type="pct"/>
            <w:tcBorders>
              <w:top w:val="single" w:color="auto" w:sz="4" w:space="0"/>
              <w:left w:val="single" w:color="auto" w:sz="4" w:space="0"/>
              <w:right w:val="single" w:color="auto" w:sz="4" w:space="0"/>
            </w:tcBorders>
            <w:vAlign w:val="center"/>
          </w:tcPr>
          <w:p w14:paraId="05CE41A4">
            <w:pPr>
              <w:adjustRightInd w:val="0"/>
              <w:snapToGrid w:val="0"/>
              <w:jc w:val="center"/>
              <w:rPr>
                <w:rFonts w:ascii="Times New Roman" w:hAnsi="Times New Roman" w:eastAsia="仿宋"/>
                <w:szCs w:val="21"/>
              </w:rPr>
            </w:pPr>
            <w:r>
              <w:rPr>
                <w:rFonts w:hint="eastAsia" w:ascii="Times New Roman" w:hAnsi="Times New Roman" w:eastAsia="仿宋"/>
                <w:szCs w:val="21"/>
              </w:rPr>
              <w:t>围岩模具</w:t>
            </w:r>
          </w:p>
        </w:tc>
        <w:tc>
          <w:tcPr>
            <w:tcW w:w="3225" w:type="pct"/>
            <w:tcBorders>
              <w:top w:val="single" w:color="auto" w:sz="4" w:space="0"/>
              <w:left w:val="single" w:color="auto" w:sz="4" w:space="0"/>
              <w:right w:val="single" w:color="auto" w:sz="4" w:space="0"/>
            </w:tcBorders>
            <w:vAlign w:val="center"/>
          </w:tcPr>
          <w:p w14:paraId="54B8D451">
            <w:pPr>
              <w:adjustRightInd w:val="0"/>
              <w:snapToGrid w:val="0"/>
              <w:rPr>
                <w:rFonts w:ascii="Times New Roman" w:hAnsi="Times New Roman" w:eastAsia="仿宋"/>
                <w:szCs w:val="21"/>
              </w:rPr>
            </w:pPr>
            <w:r>
              <w:rPr>
                <w:rFonts w:ascii="Times New Roman" w:hAnsi="Times New Roman" w:eastAsia="仿宋"/>
                <w:szCs w:val="21"/>
              </w:rPr>
              <w:t>制备大尺寸围岩相似模型，可调节裂隙角度模拟不同裂隙发育工况</w:t>
            </w:r>
            <w:r>
              <w:rPr>
                <w:rFonts w:hint="eastAsia" w:ascii="Times New Roman" w:hAnsi="Times New Roman" w:eastAsia="仿宋"/>
                <w:szCs w:val="21"/>
              </w:rPr>
              <w:t>，具体参数如下：</w:t>
            </w:r>
          </w:p>
          <w:p w14:paraId="51B619EA">
            <w:pPr>
              <w:adjustRightInd w:val="0"/>
              <w:snapToGrid w:val="0"/>
              <w:rPr>
                <w:rFonts w:ascii="Times New Roman" w:hAnsi="Times New Roman" w:eastAsia="仿宋"/>
                <w:szCs w:val="21"/>
              </w:rPr>
            </w:pPr>
            <w:r>
              <w:rPr>
                <w:rFonts w:ascii="Times New Roman" w:hAnsi="Times New Roman" w:eastAsia="仿宋"/>
                <w:szCs w:val="21"/>
              </w:rPr>
              <w:t xml:space="preserve">(1) </w:t>
            </w:r>
            <w:r>
              <w:rPr>
                <w:rFonts w:hint="eastAsia" w:ascii="Times New Roman" w:hAnsi="Times New Roman" w:eastAsia="仿宋"/>
                <w:szCs w:val="21"/>
              </w:rPr>
              <w:t>整体外形尺寸：1.2m±5mm（长）×1.2m±5mm（宽）×2.95m±5mm（高），内部巷道结构，模具内部预留与下述隔热木块模具一致的浇筑空间。</w:t>
            </w:r>
          </w:p>
          <w:p w14:paraId="520D14D3">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2</w:t>
            </w:r>
            <w:r>
              <w:rPr>
                <w:rFonts w:ascii="Times New Roman" w:hAnsi="Times New Roman" w:eastAsia="仿宋"/>
                <w:szCs w:val="21"/>
              </w:rPr>
              <w:t>)</w:t>
            </w:r>
            <w:r>
              <w:rPr>
                <w:rFonts w:hint="eastAsia" w:ascii="Times New Roman" w:hAnsi="Times New Roman" w:eastAsia="仿宋"/>
                <w:szCs w:val="21"/>
              </w:rPr>
              <w:t xml:space="preserve"> 与模型长轴走向垂直设置预制裂隙模板，预制裂隙角度支持90°、75°、60°三种角度切换，满足不同裂隙角度工况试验需求；</w:t>
            </w:r>
          </w:p>
          <w:p w14:paraId="5AE4D54B">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3)</w:t>
            </w:r>
            <w:r>
              <w:rPr>
                <w:rFonts w:ascii="Times New Roman" w:hAnsi="Times New Roman" w:eastAsia="仿宋"/>
                <w:szCs w:val="21"/>
              </w:rPr>
              <w:t xml:space="preserve"> </w:t>
            </w:r>
            <w:r>
              <w:rPr>
                <w:rFonts w:hint="eastAsia" w:ascii="Times New Roman" w:hAnsi="Times New Roman" w:eastAsia="仿宋"/>
                <w:szCs w:val="21"/>
              </w:rPr>
              <w:t>①模具材料采用结构钢，模具主体板材厚度为6mm，加结构筋；②模具整体刚度，承受围岩材料浇筑压力不变形，分段结构连接可靠，密封防漏浆，角度调节机构操作便捷、定位精准；③满足1.2m×1.2m×2.95m大尺寸模型的浇筑精度要求。</w:t>
            </w:r>
          </w:p>
        </w:tc>
      </w:tr>
      <w:tr w14:paraId="42D4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1" w:hRule="atLeast"/>
        </w:trPr>
        <w:tc>
          <w:tcPr>
            <w:tcW w:w="424" w:type="pct"/>
            <w:vMerge w:val="continue"/>
            <w:tcBorders>
              <w:left w:val="single" w:color="auto" w:sz="4" w:space="0"/>
              <w:right w:val="single" w:color="auto" w:sz="4" w:space="0"/>
            </w:tcBorders>
            <w:vAlign w:val="center"/>
          </w:tcPr>
          <w:p w14:paraId="3FA27B9D">
            <w:pPr>
              <w:adjustRightInd w:val="0"/>
              <w:snapToGrid w:val="0"/>
              <w:jc w:val="center"/>
              <w:rPr>
                <w:rFonts w:ascii="Times New Roman" w:hAnsi="Times New Roman" w:eastAsia="仿宋"/>
                <w:szCs w:val="21"/>
              </w:rPr>
            </w:pPr>
          </w:p>
        </w:tc>
        <w:tc>
          <w:tcPr>
            <w:tcW w:w="598" w:type="pct"/>
            <w:vMerge w:val="continue"/>
            <w:tcBorders>
              <w:left w:val="single" w:color="auto" w:sz="4" w:space="0"/>
              <w:right w:val="single" w:color="auto" w:sz="4" w:space="0"/>
            </w:tcBorders>
            <w:vAlign w:val="center"/>
          </w:tcPr>
          <w:p w14:paraId="576D0D2D">
            <w:pPr>
              <w:adjustRightInd w:val="0"/>
              <w:snapToGrid w:val="0"/>
              <w:jc w:val="center"/>
              <w:rPr>
                <w:rFonts w:ascii="Times New Roman" w:hAnsi="Times New Roman" w:eastAsia="仿宋"/>
                <w:szCs w:val="21"/>
              </w:rPr>
            </w:pPr>
          </w:p>
        </w:tc>
        <w:tc>
          <w:tcPr>
            <w:tcW w:w="753" w:type="pct"/>
            <w:tcBorders>
              <w:top w:val="single" w:color="auto" w:sz="4" w:space="0"/>
              <w:left w:val="single" w:color="auto" w:sz="4" w:space="0"/>
              <w:right w:val="single" w:color="auto" w:sz="4" w:space="0"/>
            </w:tcBorders>
            <w:vAlign w:val="center"/>
          </w:tcPr>
          <w:p w14:paraId="0D9F5AB5">
            <w:pPr>
              <w:adjustRightInd w:val="0"/>
              <w:snapToGrid w:val="0"/>
              <w:jc w:val="center"/>
              <w:rPr>
                <w:rFonts w:ascii="Times New Roman" w:hAnsi="Times New Roman" w:eastAsia="仿宋"/>
                <w:szCs w:val="21"/>
              </w:rPr>
            </w:pPr>
            <w:r>
              <w:rPr>
                <w:rFonts w:hint="eastAsia" w:ascii="Times New Roman" w:hAnsi="Times New Roman" w:eastAsia="仿宋"/>
                <w:szCs w:val="21"/>
              </w:rPr>
              <w:t>隔热模块模具</w:t>
            </w:r>
          </w:p>
        </w:tc>
        <w:tc>
          <w:tcPr>
            <w:tcW w:w="3225" w:type="pct"/>
            <w:tcBorders>
              <w:top w:val="single" w:color="auto" w:sz="4" w:space="0"/>
              <w:left w:val="single" w:color="auto" w:sz="4" w:space="0"/>
              <w:right w:val="single" w:color="auto" w:sz="4" w:space="0"/>
            </w:tcBorders>
            <w:vAlign w:val="center"/>
          </w:tcPr>
          <w:p w14:paraId="35677FB0">
            <w:pPr>
              <w:adjustRightInd w:val="0"/>
              <w:snapToGrid w:val="0"/>
              <w:rPr>
                <w:rFonts w:ascii="Times New Roman" w:hAnsi="Times New Roman" w:eastAsia="仿宋"/>
                <w:szCs w:val="21"/>
              </w:rPr>
            </w:pPr>
            <w:r>
              <w:rPr>
                <w:rFonts w:ascii="Times New Roman" w:hAnsi="Times New Roman" w:eastAsia="仿宋"/>
                <w:szCs w:val="21"/>
              </w:rPr>
              <w:t>制备不同厚度的隔热模块，适配试验中不同部位的隔热需求，保障加热模块的隔热效果与试验环境的稳定性</w:t>
            </w:r>
            <w:r>
              <w:rPr>
                <w:rFonts w:hint="eastAsia" w:ascii="Times New Roman" w:hAnsi="Times New Roman" w:eastAsia="仿宋"/>
                <w:szCs w:val="21"/>
              </w:rPr>
              <w:t>，具体参数如下：</w:t>
            </w:r>
          </w:p>
          <w:p w14:paraId="5E9A43AD">
            <w:pPr>
              <w:adjustRightInd w:val="0"/>
              <w:snapToGrid w:val="0"/>
              <w:rPr>
                <w:rFonts w:ascii="Times New Roman" w:hAnsi="Times New Roman" w:eastAsia="仿宋"/>
                <w:szCs w:val="21"/>
              </w:rPr>
            </w:pPr>
            <w:r>
              <w:rPr>
                <w:rFonts w:ascii="Times New Roman" w:hAnsi="Times New Roman" w:eastAsia="仿宋"/>
                <w:szCs w:val="21"/>
              </w:rPr>
              <w:t xml:space="preserve">(1) </w:t>
            </w:r>
            <w:r>
              <w:rPr>
                <w:rFonts w:hint="eastAsia" w:ascii="Times New Roman" w:hAnsi="Times New Roman" w:eastAsia="仿宋"/>
                <w:szCs w:val="21"/>
              </w:rPr>
              <w:t>①单组模具有效浇筑长度为1m。②需制作3种厚度的模具，1cm、1.5cm、2cm各3组，合计9组；</w:t>
            </w:r>
          </w:p>
          <w:p w14:paraId="5F231B4A">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2)</w:t>
            </w:r>
            <w:r>
              <w:rPr>
                <w:rFonts w:ascii="Times New Roman" w:hAnsi="Times New Roman" w:eastAsia="仿宋"/>
                <w:szCs w:val="21"/>
              </w:rPr>
              <w:t xml:space="preserve"> </w:t>
            </w:r>
            <w:r>
              <w:rPr>
                <w:rFonts w:hint="eastAsia" w:ascii="Times New Roman" w:hAnsi="Times New Roman" w:eastAsia="仿宋"/>
                <w:szCs w:val="21"/>
              </w:rPr>
              <w:t>①截面形状正方形截面；②内部净尺寸如下：边长0.3m；</w:t>
            </w:r>
          </w:p>
          <w:p w14:paraId="60DABEBF">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3) 材料结构钢，主体板材厚度为3mm保证模具结构强度，焊接牢固、密封防漏浆，尺寸精度满足试验浇筑要求，脱模顺畅。</w:t>
            </w:r>
          </w:p>
        </w:tc>
      </w:tr>
      <w:tr w14:paraId="160F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4" w:type="pct"/>
            <w:vMerge w:val="restart"/>
            <w:tcBorders>
              <w:left w:val="single" w:color="auto" w:sz="4" w:space="0"/>
              <w:right w:val="single" w:color="auto" w:sz="4" w:space="0"/>
            </w:tcBorders>
            <w:vAlign w:val="center"/>
          </w:tcPr>
          <w:p w14:paraId="6F94498C">
            <w:pPr>
              <w:adjustRightInd w:val="0"/>
              <w:snapToGrid w:val="0"/>
              <w:jc w:val="center"/>
              <w:rPr>
                <w:rFonts w:ascii="Times New Roman" w:hAnsi="Times New Roman" w:eastAsia="仿宋"/>
                <w:szCs w:val="21"/>
              </w:rPr>
            </w:pPr>
            <w:r>
              <w:rPr>
                <w:rFonts w:hint="eastAsia" w:ascii="Times New Roman" w:hAnsi="Times New Roman" w:eastAsia="仿宋"/>
                <w:szCs w:val="21"/>
              </w:rPr>
              <w:t>4</w:t>
            </w:r>
          </w:p>
        </w:tc>
        <w:tc>
          <w:tcPr>
            <w:tcW w:w="598" w:type="pct"/>
            <w:vMerge w:val="restart"/>
            <w:tcBorders>
              <w:left w:val="single" w:color="auto" w:sz="4" w:space="0"/>
              <w:right w:val="single" w:color="auto" w:sz="4" w:space="0"/>
            </w:tcBorders>
            <w:vAlign w:val="center"/>
          </w:tcPr>
          <w:p w14:paraId="26D66F94">
            <w:pPr>
              <w:adjustRightInd w:val="0"/>
              <w:snapToGrid w:val="0"/>
              <w:jc w:val="center"/>
              <w:rPr>
                <w:rFonts w:ascii="Times New Roman" w:hAnsi="Times New Roman" w:eastAsia="仿宋"/>
                <w:szCs w:val="21"/>
              </w:rPr>
            </w:pPr>
            <w:r>
              <w:rPr>
                <w:rFonts w:hint="eastAsia" w:ascii="Times New Roman" w:hAnsi="Times New Roman" w:eastAsia="仿宋"/>
                <w:szCs w:val="21"/>
              </w:rPr>
              <w:t>多通道模拟数据采集设备</w:t>
            </w:r>
          </w:p>
        </w:tc>
        <w:tc>
          <w:tcPr>
            <w:tcW w:w="753" w:type="pct"/>
            <w:tcBorders>
              <w:top w:val="single" w:color="auto" w:sz="4" w:space="0"/>
              <w:left w:val="single" w:color="auto" w:sz="4" w:space="0"/>
              <w:bottom w:val="single" w:color="auto" w:sz="4" w:space="0"/>
              <w:right w:val="single" w:color="auto" w:sz="4" w:space="0"/>
            </w:tcBorders>
            <w:vAlign w:val="center"/>
          </w:tcPr>
          <w:p w14:paraId="0B835404">
            <w:pPr>
              <w:adjustRightInd w:val="0"/>
              <w:snapToGrid w:val="0"/>
              <w:jc w:val="center"/>
              <w:rPr>
                <w:rFonts w:ascii="Times New Roman" w:hAnsi="Times New Roman" w:eastAsia="仿宋"/>
                <w:szCs w:val="21"/>
              </w:rPr>
            </w:pPr>
            <w:r>
              <w:rPr>
                <w:rFonts w:hint="eastAsia" w:ascii="Times New Roman" w:hAnsi="Times New Roman" w:eastAsia="仿宋"/>
                <w:szCs w:val="21"/>
              </w:rPr>
              <w:t>多通道数据采集器</w:t>
            </w:r>
          </w:p>
        </w:tc>
        <w:tc>
          <w:tcPr>
            <w:tcW w:w="3225" w:type="pct"/>
            <w:tcBorders>
              <w:top w:val="single" w:color="auto" w:sz="4" w:space="0"/>
              <w:left w:val="single" w:color="auto" w:sz="4" w:space="0"/>
              <w:bottom w:val="single" w:color="auto" w:sz="4" w:space="0"/>
              <w:right w:val="single" w:color="auto" w:sz="4" w:space="0"/>
            </w:tcBorders>
            <w:vAlign w:val="center"/>
          </w:tcPr>
          <w:p w14:paraId="483AC95C">
            <w:pPr>
              <w:adjustRightInd w:val="0"/>
              <w:snapToGrid w:val="0"/>
              <w:rPr>
                <w:rFonts w:ascii="Times New Roman" w:hAnsi="Times New Roman" w:eastAsia="仿宋"/>
                <w:szCs w:val="21"/>
              </w:rPr>
            </w:pPr>
            <w:r>
              <w:rPr>
                <w:rFonts w:ascii="Times New Roman" w:hAnsi="Times New Roman" w:eastAsia="仿宋"/>
                <w:szCs w:val="21"/>
              </w:rPr>
              <w:t>(1)</w:t>
            </w:r>
            <w:r>
              <w:rPr>
                <w:rFonts w:hint="eastAsia" w:ascii="Times New Roman" w:hAnsi="Times New Roman" w:eastAsia="仿宋"/>
                <w:szCs w:val="21"/>
              </w:rPr>
              <w:t xml:space="preserve"> 集成采集卡，</w:t>
            </w:r>
            <w:r>
              <w:rPr>
                <w:rFonts w:ascii="Times New Roman" w:hAnsi="Times New Roman" w:eastAsia="仿宋"/>
                <w:szCs w:val="21"/>
              </w:rPr>
              <w:t>万能输入电流，电压，热电阻，热电偶，压力</w:t>
            </w:r>
            <w:r>
              <w:rPr>
                <w:rFonts w:hint="eastAsia" w:ascii="Times New Roman" w:hAnsi="Times New Roman" w:eastAsia="仿宋"/>
                <w:szCs w:val="21"/>
              </w:rPr>
              <w:t>；输入信号包括直流电流，直流电压，热电阻，热电偶，压力类，可按需选择；直流电流，4~20mA；直流电压，0.01mV-10V；三线制Pt100热电阻；</w:t>
            </w:r>
          </w:p>
          <w:p w14:paraId="124BB933">
            <w:pPr>
              <w:adjustRightInd w:val="0"/>
              <w:snapToGrid w:val="0"/>
              <w:rPr>
                <w:rFonts w:ascii="Times New Roman" w:hAnsi="Times New Roman" w:eastAsia="仿宋"/>
                <w:color w:val="EE0000"/>
                <w:szCs w:val="21"/>
              </w:rPr>
            </w:pPr>
            <w:r>
              <w:rPr>
                <w:rFonts w:hint="eastAsia" w:ascii="Times New Roman" w:hAnsi="Times New Roman" w:eastAsia="仿宋"/>
                <w:szCs w:val="21"/>
              </w:rPr>
              <w:t>(2) 需要满足温度通道不低于128通道，流量监测通道不低于15个，压力监测通道不低于10个，湿度监测通道不低于30个，风速监测通道不低于10个，气体流量监测通道不低于10个。</w:t>
            </w:r>
          </w:p>
          <w:p w14:paraId="7E0C86C8">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3)</w:t>
            </w:r>
            <w:r>
              <w:rPr>
                <w:rFonts w:ascii="Times New Roman" w:hAnsi="Times New Roman" w:eastAsia="仿宋"/>
                <w:szCs w:val="21"/>
              </w:rPr>
              <w:t xml:space="preserve"> </w:t>
            </w:r>
            <w:r>
              <w:rPr>
                <w:rFonts w:hint="eastAsia" w:ascii="Times New Roman" w:hAnsi="Times New Roman" w:eastAsia="仿宋"/>
                <w:szCs w:val="21"/>
              </w:rPr>
              <w:t>采样频率最低0-10Hz，适配所有传感器的同步采集需求；</w:t>
            </w:r>
          </w:p>
          <w:p w14:paraId="419B9BC5">
            <w:pPr>
              <w:adjustRightInd w:val="0"/>
              <w:snapToGrid w:val="0"/>
              <w:rPr>
                <w:rFonts w:ascii="Times New Roman" w:hAnsi="Times New Roman" w:eastAsia="仿宋"/>
                <w:szCs w:val="21"/>
              </w:rPr>
            </w:pPr>
            <w:r>
              <w:rPr>
                <w:rFonts w:hint="eastAsia" w:ascii="Times New Roman" w:hAnsi="Times New Roman" w:eastAsia="仿宋"/>
                <w:szCs w:val="21"/>
              </w:rPr>
              <w:t>(4) 带触摸彩色液晶屏，具有温度补偿功能(TC)；</w:t>
            </w:r>
          </w:p>
          <w:p w14:paraId="09B3AAD0">
            <w:pPr>
              <w:adjustRightInd w:val="0"/>
              <w:snapToGrid w:val="0"/>
              <w:rPr>
                <w:rFonts w:ascii="Times New Roman" w:hAnsi="Times New Roman" w:eastAsia="仿宋"/>
                <w:szCs w:val="21"/>
              </w:rPr>
            </w:pPr>
            <w:r>
              <w:rPr>
                <w:rFonts w:hint="eastAsia" w:ascii="Times New Roman" w:hAnsi="Times New Roman" w:eastAsia="仿宋"/>
                <w:szCs w:val="21"/>
              </w:rPr>
              <w:t>(5) 历史数据趋势的无缝显示，数据保存功能方便测量结果的实时保存，屏幕信息存储于U盘;</w:t>
            </w:r>
          </w:p>
          <w:p w14:paraId="4CACA3A9">
            <w:pPr>
              <w:adjustRightInd w:val="0"/>
              <w:snapToGrid w:val="0"/>
              <w:rPr>
                <w:rFonts w:ascii="Times New Roman" w:hAnsi="Times New Roman" w:eastAsia="仿宋"/>
                <w:szCs w:val="21"/>
              </w:rPr>
            </w:pPr>
            <w:r>
              <w:rPr>
                <w:rFonts w:hint="eastAsia" w:ascii="Times New Roman" w:hAnsi="Times New Roman" w:eastAsia="仿宋"/>
                <w:szCs w:val="21"/>
              </w:rPr>
              <w:t>(6) RS232、USB Device、LAN等通讯接口，可方便与PC进行数据通讯以及对仪器的远程控制；</w:t>
            </w:r>
          </w:p>
        </w:tc>
      </w:tr>
      <w:tr w14:paraId="7201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4" w:type="pct"/>
            <w:vMerge w:val="continue"/>
            <w:tcBorders>
              <w:left w:val="single" w:color="auto" w:sz="4" w:space="0"/>
              <w:right w:val="single" w:color="auto" w:sz="4" w:space="0"/>
            </w:tcBorders>
            <w:vAlign w:val="center"/>
          </w:tcPr>
          <w:p w14:paraId="6859D9E5">
            <w:pPr>
              <w:adjustRightInd w:val="0"/>
              <w:snapToGrid w:val="0"/>
              <w:jc w:val="center"/>
              <w:rPr>
                <w:rFonts w:ascii="Times New Roman" w:hAnsi="Times New Roman" w:eastAsia="仿宋"/>
                <w:szCs w:val="21"/>
              </w:rPr>
            </w:pPr>
          </w:p>
        </w:tc>
        <w:tc>
          <w:tcPr>
            <w:tcW w:w="598" w:type="pct"/>
            <w:vMerge w:val="continue"/>
            <w:tcBorders>
              <w:left w:val="single" w:color="auto" w:sz="4" w:space="0"/>
              <w:right w:val="single" w:color="auto" w:sz="4" w:space="0"/>
            </w:tcBorders>
            <w:vAlign w:val="center"/>
          </w:tcPr>
          <w:p w14:paraId="5A0927E4">
            <w:pPr>
              <w:adjustRightInd w:val="0"/>
              <w:snapToGrid w:val="0"/>
              <w:jc w:val="center"/>
              <w:rPr>
                <w:rFonts w:ascii="Times New Roman" w:hAnsi="Times New Roman" w:eastAsia="仿宋"/>
                <w:szCs w:val="21"/>
              </w:rPr>
            </w:pPr>
          </w:p>
        </w:tc>
        <w:tc>
          <w:tcPr>
            <w:tcW w:w="753" w:type="pct"/>
            <w:tcBorders>
              <w:top w:val="single" w:color="auto" w:sz="4" w:space="0"/>
              <w:left w:val="single" w:color="auto" w:sz="4" w:space="0"/>
              <w:bottom w:val="single" w:color="auto" w:sz="4" w:space="0"/>
              <w:right w:val="single" w:color="auto" w:sz="4" w:space="0"/>
            </w:tcBorders>
            <w:vAlign w:val="center"/>
          </w:tcPr>
          <w:p w14:paraId="2C4C3FC7">
            <w:pPr>
              <w:adjustRightInd w:val="0"/>
              <w:snapToGrid w:val="0"/>
              <w:jc w:val="center"/>
              <w:rPr>
                <w:rFonts w:ascii="Times New Roman" w:hAnsi="Times New Roman" w:eastAsia="仿宋"/>
                <w:szCs w:val="21"/>
              </w:rPr>
            </w:pPr>
            <w:r>
              <w:rPr>
                <w:rFonts w:hint="eastAsia" w:ascii="Times New Roman" w:hAnsi="Times New Roman" w:eastAsia="仿宋"/>
                <w:szCs w:val="21"/>
              </w:rPr>
              <w:t>配套传感器</w:t>
            </w:r>
          </w:p>
        </w:tc>
        <w:tc>
          <w:tcPr>
            <w:tcW w:w="3225" w:type="pct"/>
            <w:tcBorders>
              <w:top w:val="single" w:color="auto" w:sz="4" w:space="0"/>
              <w:left w:val="single" w:color="auto" w:sz="4" w:space="0"/>
              <w:bottom w:val="single" w:color="auto" w:sz="4" w:space="0"/>
              <w:right w:val="single" w:color="auto" w:sz="4" w:space="0"/>
            </w:tcBorders>
            <w:vAlign w:val="center"/>
          </w:tcPr>
          <w:p w14:paraId="043788FE">
            <w:pPr>
              <w:adjustRightInd w:val="0"/>
              <w:snapToGrid w:val="0"/>
              <w:rPr>
                <w:rFonts w:ascii="Times New Roman" w:hAnsi="Times New Roman" w:eastAsia="仿宋"/>
                <w:szCs w:val="21"/>
              </w:rPr>
            </w:pPr>
            <w:r>
              <w:rPr>
                <w:rFonts w:ascii="Times New Roman" w:hAnsi="Times New Roman" w:eastAsia="仿宋"/>
                <w:szCs w:val="21"/>
              </w:rPr>
              <w:t xml:space="preserve">(1) </w:t>
            </w:r>
            <w:r>
              <w:rPr>
                <w:rFonts w:hint="eastAsia" w:ascii="Times New Roman" w:hAnsi="Times New Roman" w:eastAsia="仿宋"/>
                <w:szCs w:val="21"/>
              </w:rPr>
              <w:t>温度传感器：30个PT100（精度A级），其中20个布置于有效空间，4个分别监测双水源接口温度，6个作为备用，精度1％，温度测量范围为0℃~120℃，传感器耐温性能好并且能够防水和水蒸气，能够满足整个系统的温度测量。</w:t>
            </w:r>
          </w:p>
          <w:p w14:paraId="618F27A0">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2</w:t>
            </w:r>
            <w:r>
              <w:rPr>
                <w:rFonts w:ascii="Times New Roman" w:hAnsi="Times New Roman" w:eastAsia="仿宋"/>
                <w:szCs w:val="21"/>
              </w:rPr>
              <w:t xml:space="preserve">) </w:t>
            </w:r>
            <w:r>
              <w:rPr>
                <w:rFonts w:hint="eastAsia" w:ascii="Times New Roman" w:hAnsi="Times New Roman" w:eastAsia="仿宋"/>
                <w:szCs w:val="21"/>
              </w:rPr>
              <w:t>压力传感器：10个，量程0~5MPa，精度0.05MPa。</w:t>
            </w:r>
          </w:p>
          <w:p w14:paraId="4BF01D89">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3</w:t>
            </w:r>
            <w:r>
              <w:rPr>
                <w:rFonts w:ascii="Times New Roman" w:hAnsi="Times New Roman" w:eastAsia="仿宋"/>
                <w:szCs w:val="21"/>
              </w:rPr>
              <w:t xml:space="preserve">) </w:t>
            </w:r>
            <w:r>
              <w:rPr>
                <w:rFonts w:hint="eastAsia" w:ascii="Times New Roman" w:hAnsi="Times New Roman" w:eastAsia="仿宋"/>
                <w:szCs w:val="21"/>
              </w:rPr>
              <w:t>湿度传感器：24个，量程20~100%，精度±0.5%。</w:t>
            </w:r>
          </w:p>
          <w:p w14:paraId="55A9E6A3">
            <w:pPr>
              <w:adjustRightInd w:val="0"/>
              <w:snapToGrid w:val="0"/>
              <w:rPr>
                <w:rFonts w:ascii="Times New Roman" w:hAnsi="Times New Roman" w:eastAsia="仿宋"/>
                <w:szCs w:val="21"/>
              </w:rPr>
            </w:pPr>
            <w:r>
              <w:rPr>
                <w:rFonts w:ascii="Times New Roman" w:hAnsi="Times New Roman" w:eastAsia="仿宋"/>
                <w:szCs w:val="21"/>
              </w:rPr>
              <w:t>(</w:t>
            </w:r>
            <w:r>
              <w:rPr>
                <w:rFonts w:hint="eastAsia" w:ascii="Times New Roman" w:hAnsi="Times New Roman" w:eastAsia="仿宋"/>
                <w:szCs w:val="21"/>
              </w:rPr>
              <w:t>4)</w:t>
            </w:r>
            <w:r>
              <w:rPr>
                <w:rFonts w:ascii="Times New Roman" w:hAnsi="Times New Roman" w:eastAsia="仿宋"/>
                <w:szCs w:val="21"/>
              </w:rPr>
              <w:t xml:space="preserve"> </w:t>
            </w:r>
            <w:r>
              <w:rPr>
                <w:rFonts w:hint="eastAsia" w:ascii="Times New Roman" w:hAnsi="Times New Roman" w:eastAsia="仿宋"/>
                <w:szCs w:val="21"/>
              </w:rPr>
              <w:t>热线风速仪：5个，量程0.1~60m/s，精度±0.05m/s，响应时间≤0.5s。</w:t>
            </w:r>
          </w:p>
        </w:tc>
      </w:tr>
      <w:tr w14:paraId="1007C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4" w:type="pct"/>
            <w:vMerge w:val="continue"/>
            <w:tcBorders>
              <w:left w:val="single" w:color="auto" w:sz="4" w:space="0"/>
              <w:right w:val="single" w:color="auto" w:sz="4" w:space="0"/>
            </w:tcBorders>
            <w:vAlign w:val="center"/>
          </w:tcPr>
          <w:p w14:paraId="4C430127">
            <w:pPr>
              <w:adjustRightInd w:val="0"/>
              <w:snapToGrid w:val="0"/>
              <w:jc w:val="center"/>
              <w:rPr>
                <w:rFonts w:ascii="Times New Roman" w:hAnsi="Times New Roman" w:eastAsia="仿宋"/>
                <w:szCs w:val="21"/>
              </w:rPr>
            </w:pPr>
          </w:p>
        </w:tc>
        <w:tc>
          <w:tcPr>
            <w:tcW w:w="598" w:type="pct"/>
            <w:vMerge w:val="continue"/>
            <w:tcBorders>
              <w:left w:val="single" w:color="auto" w:sz="4" w:space="0"/>
              <w:right w:val="single" w:color="auto" w:sz="4" w:space="0"/>
            </w:tcBorders>
            <w:vAlign w:val="center"/>
          </w:tcPr>
          <w:p w14:paraId="419015E7">
            <w:pPr>
              <w:adjustRightInd w:val="0"/>
              <w:snapToGrid w:val="0"/>
              <w:jc w:val="center"/>
              <w:rPr>
                <w:rFonts w:ascii="Times New Roman" w:hAnsi="Times New Roman" w:eastAsia="仿宋"/>
                <w:szCs w:val="21"/>
              </w:rPr>
            </w:pPr>
          </w:p>
        </w:tc>
        <w:tc>
          <w:tcPr>
            <w:tcW w:w="753" w:type="pct"/>
            <w:tcBorders>
              <w:top w:val="single" w:color="auto" w:sz="4" w:space="0"/>
              <w:left w:val="single" w:color="auto" w:sz="4" w:space="0"/>
              <w:bottom w:val="single" w:color="auto" w:sz="4" w:space="0"/>
              <w:right w:val="single" w:color="auto" w:sz="4" w:space="0"/>
            </w:tcBorders>
            <w:vAlign w:val="center"/>
          </w:tcPr>
          <w:p w14:paraId="4FA50580">
            <w:pPr>
              <w:adjustRightInd w:val="0"/>
              <w:snapToGrid w:val="0"/>
              <w:jc w:val="center"/>
              <w:rPr>
                <w:rFonts w:ascii="Times New Roman" w:hAnsi="Times New Roman" w:eastAsia="仿宋"/>
                <w:szCs w:val="21"/>
              </w:rPr>
            </w:pPr>
            <w:r>
              <w:rPr>
                <w:rFonts w:hint="eastAsia" w:ascii="Times New Roman" w:hAnsi="Times New Roman" w:eastAsia="仿宋"/>
                <w:szCs w:val="21"/>
              </w:rPr>
              <w:t>数据处理软件</w:t>
            </w:r>
          </w:p>
        </w:tc>
        <w:tc>
          <w:tcPr>
            <w:tcW w:w="3225" w:type="pct"/>
            <w:tcBorders>
              <w:top w:val="single" w:color="auto" w:sz="4" w:space="0"/>
              <w:left w:val="single" w:color="auto" w:sz="4" w:space="0"/>
              <w:bottom w:val="single" w:color="auto" w:sz="4" w:space="0"/>
              <w:right w:val="single" w:color="auto" w:sz="4" w:space="0"/>
            </w:tcBorders>
            <w:vAlign w:val="center"/>
          </w:tcPr>
          <w:p w14:paraId="08D0DD64">
            <w:pPr>
              <w:adjustRightInd w:val="0"/>
              <w:snapToGrid w:val="0"/>
              <w:rPr>
                <w:rFonts w:ascii="Times New Roman" w:hAnsi="Times New Roman" w:eastAsia="仿宋"/>
                <w:szCs w:val="21"/>
              </w:rPr>
            </w:pPr>
            <w:r>
              <w:rPr>
                <w:rFonts w:ascii="Times New Roman" w:hAnsi="Times New Roman" w:eastAsia="仿宋"/>
                <w:szCs w:val="21"/>
              </w:rPr>
              <w:t xml:space="preserve">(1) </w:t>
            </w:r>
            <w:r>
              <w:rPr>
                <w:rFonts w:hint="eastAsia" w:ascii="Times New Roman" w:hAnsi="Times New Roman" w:eastAsia="仿宋"/>
                <w:szCs w:val="21"/>
              </w:rPr>
              <w:t>配备专用采集软件（支持Windows10/11）；</w:t>
            </w:r>
          </w:p>
          <w:p w14:paraId="4FC9E94B">
            <w:pPr>
              <w:adjustRightInd w:val="0"/>
              <w:snapToGrid w:val="0"/>
              <w:rPr>
                <w:rFonts w:ascii="Times New Roman" w:hAnsi="Times New Roman" w:eastAsia="仿宋"/>
                <w:color w:val="EE0000"/>
                <w:szCs w:val="21"/>
              </w:rPr>
            </w:pPr>
            <w:r>
              <w:rPr>
                <w:rFonts w:ascii="Times New Roman" w:hAnsi="Times New Roman" w:eastAsia="仿宋"/>
                <w:szCs w:val="21"/>
              </w:rPr>
              <w:t>(</w:t>
            </w:r>
            <w:r>
              <w:rPr>
                <w:rFonts w:hint="eastAsia" w:ascii="Times New Roman" w:hAnsi="Times New Roman" w:eastAsia="仿宋"/>
                <w:szCs w:val="21"/>
              </w:rPr>
              <w:t>2</w:t>
            </w:r>
            <w:r>
              <w:rPr>
                <w:rFonts w:ascii="Times New Roman" w:hAnsi="Times New Roman" w:eastAsia="仿宋"/>
                <w:szCs w:val="21"/>
              </w:rPr>
              <w:t xml:space="preserve">) </w:t>
            </w:r>
            <w:r>
              <w:rPr>
                <w:rFonts w:hint="eastAsia" w:ascii="Times New Roman" w:hAnsi="Times New Roman" w:eastAsia="仿宋"/>
                <w:szCs w:val="21"/>
              </w:rPr>
              <w:t>具备实时数据显示、曲线绘制、数据存储（格式：Excel、TXT）及异常报警功能（超温、超压）</w:t>
            </w:r>
          </w:p>
        </w:tc>
      </w:tr>
    </w:tbl>
    <w:p w14:paraId="6C48DBC5">
      <w:pPr>
        <w:spacing w:line="360" w:lineRule="auto"/>
        <w:ind w:firstLine="480" w:firstLineChars="200"/>
        <w:jc w:val="center"/>
        <w:rPr>
          <w:rFonts w:hint="eastAsia" w:ascii="仿宋" w:hAnsi="仿宋" w:eastAsia="仿宋" w:cs="仿宋"/>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AyNTExMrc0MrGwNDFS0lEKTi0uzszPAykwqQUA7rF4ICwAAAA="/>
  </w:docVars>
  <w:rsids>
    <w:rsidRoot w:val="009E1D70"/>
    <w:rsid w:val="00046954"/>
    <w:rsid w:val="000A7423"/>
    <w:rsid w:val="000C42B3"/>
    <w:rsid w:val="001654F2"/>
    <w:rsid w:val="001B3593"/>
    <w:rsid w:val="001C3132"/>
    <w:rsid w:val="001D36D1"/>
    <w:rsid w:val="001D4E65"/>
    <w:rsid w:val="00222D24"/>
    <w:rsid w:val="002559FC"/>
    <w:rsid w:val="002737CB"/>
    <w:rsid w:val="00281869"/>
    <w:rsid w:val="002A284B"/>
    <w:rsid w:val="00331C16"/>
    <w:rsid w:val="00390CBE"/>
    <w:rsid w:val="00392C2D"/>
    <w:rsid w:val="003D6503"/>
    <w:rsid w:val="003F652F"/>
    <w:rsid w:val="003F701A"/>
    <w:rsid w:val="00427DE0"/>
    <w:rsid w:val="00457ED7"/>
    <w:rsid w:val="0048321C"/>
    <w:rsid w:val="00493130"/>
    <w:rsid w:val="004B6520"/>
    <w:rsid w:val="004F6D74"/>
    <w:rsid w:val="005063BE"/>
    <w:rsid w:val="00507018"/>
    <w:rsid w:val="005243E6"/>
    <w:rsid w:val="00541E53"/>
    <w:rsid w:val="00581A27"/>
    <w:rsid w:val="00585344"/>
    <w:rsid w:val="005C2DDF"/>
    <w:rsid w:val="005E149D"/>
    <w:rsid w:val="005E3153"/>
    <w:rsid w:val="005E3A33"/>
    <w:rsid w:val="00675493"/>
    <w:rsid w:val="00693EBA"/>
    <w:rsid w:val="00713791"/>
    <w:rsid w:val="007D2338"/>
    <w:rsid w:val="007E3971"/>
    <w:rsid w:val="00825F06"/>
    <w:rsid w:val="008564D9"/>
    <w:rsid w:val="00862493"/>
    <w:rsid w:val="00871C4E"/>
    <w:rsid w:val="00872A37"/>
    <w:rsid w:val="00885D9B"/>
    <w:rsid w:val="008C5109"/>
    <w:rsid w:val="008E3C1F"/>
    <w:rsid w:val="00936CDF"/>
    <w:rsid w:val="009E1D70"/>
    <w:rsid w:val="00A305D4"/>
    <w:rsid w:val="00A34DD4"/>
    <w:rsid w:val="00AB06F0"/>
    <w:rsid w:val="00AC5FD1"/>
    <w:rsid w:val="00AD341A"/>
    <w:rsid w:val="00B517AB"/>
    <w:rsid w:val="00B805F4"/>
    <w:rsid w:val="00B91376"/>
    <w:rsid w:val="00B9320A"/>
    <w:rsid w:val="00C017B1"/>
    <w:rsid w:val="00C30AD1"/>
    <w:rsid w:val="00C4207C"/>
    <w:rsid w:val="00C67B0F"/>
    <w:rsid w:val="00C81E14"/>
    <w:rsid w:val="00CC3C7B"/>
    <w:rsid w:val="00CE00D5"/>
    <w:rsid w:val="00D83646"/>
    <w:rsid w:val="00E35A92"/>
    <w:rsid w:val="00EB6F80"/>
    <w:rsid w:val="00EC1266"/>
    <w:rsid w:val="00EE48B4"/>
    <w:rsid w:val="00EF3CCB"/>
    <w:rsid w:val="00F10D58"/>
    <w:rsid w:val="00F648A8"/>
    <w:rsid w:val="00F75138"/>
    <w:rsid w:val="025F2864"/>
    <w:rsid w:val="027E76DF"/>
    <w:rsid w:val="02F704D4"/>
    <w:rsid w:val="03827DEC"/>
    <w:rsid w:val="07DA679B"/>
    <w:rsid w:val="0E1A1913"/>
    <w:rsid w:val="131B3121"/>
    <w:rsid w:val="13914897"/>
    <w:rsid w:val="16056D4F"/>
    <w:rsid w:val="1B416BA3"/>
    <w:rsid w:val="20313165"/>
    <w:rsid w:val="26AC7023"/>
    <w:rsid w:val="292813A2"/>
    <w:rsid w:val="2F445343"/>
    <w:rsid w:val="30751030"/>
    <w:rsid w:val="35F542B6"/>
    <w:rsid w:val="35FE4DC7"/>
    <w:rsid w:val="38E36885"/>
    <w:rsid w:val="3F8E353A"/>
    <w:rsid w:val="3FD439FB"/>
    <w:rsid w:val="4A2D59FA"/>
    <w:rsid w:val="4AA17221"/>
    <w:rsid w:val="4C79769B"/>
    <w:rsid w:val="506015D8"/>
    <w:rsid w:val="508F1B83"/>
    <w:rsid w:val="585844ED"/>
    <w:rsid w:val="58850B9C"/>
    <w:rsid w:val="58C3686E"/>
    <w:rsid w:val="5A356B57"/>
    <w:rsid w:val="5A7B6983"/>
    <w:rsid w:val="5E7F4FE5"/>
    <w:rsid w:val="616109D2"/>
    <w:rsid w:val="63123902"/>
    <w:rsid w:val="66E50480"/>
    <w:rsid w:val="68CC57C0"/>
    <w:rsid w:val="6D0715D4"/>
    <w:rsid w:val="70C2375B"/>
    <w:rsid w:val="737F72DA"/>
    <w:rsid w:val="74C72AC0"/>
    <w:rsid w:val="76404397"/>
    <w:rsid w:val="7A983F42"/>
    <w:rsid w:val="7DDA4F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1"/>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22"/>
    <w:rPr>
      <w:b/>
      <w:bCs/>
    </w:rPr>
  </w:style>
  <w:style w:type="character" w:styleId="10">
    <w:name w:val="annotation reference"/>
    <w:basedOn w:val="8"/>
    <w:semiHidden/>
    <w:unhideWhenUsed/>
    <w:qFormat/>
    <w:uiPriority w:val="99"/>
    <w:rPr>
      <w:sz w:val="21"/>
      <w:szCs w:val="21"/>
    </w:rPr>
  </w:style>
  <w:style w:type="character" w:customStyle="1" w:styleId="11">
    <w:name w:val="批注框文本 字符"/>
    <w:basedOn w:val="8"/>
    <w:link w:val="3"/>
    <w:semiHidden/>
    <w:qFormat/>
    <w:uiPriority w:val="99"/>
    <w:rPr>
      <w:sz w:val="18"/>
      <w:szCs w:val="18"/>
    </w:rPr>
  </w:style>
  <w:style w:type="character" w:customStyle="1" w:styleId="12">
    <w:name w:val="页眉 字符"/>
    <w:basedOn w:val="8"/>
    <w:link w:val="5"/>
    <w:qFormat/>
    <w:uiPriority w:val="99"/>
    <w:rPr>
      <w:sz w:val="18"/>
      <w:szCs w:val="18"/>
    </w:rPr>
  </w:style>
  <w:style w:type="character" w:customStyle="1" w:styleId="13">
    <w:name w:val="页脚 字符"/>
    <w:basedOn w:val="8"/>
    <w:link w:val="4"/>
    <w:qFormat/>
    <w:uiPriority w:val="99"/>
    <w:rPr>
      <w:sz w:val="18"/>
      <w:szCs w:val="18"/>
    </w:rPr>
  </w:style>
  <w:style w:type="paragraph" w:customStyle="1" w:styleId="14">
    <w:name w:val="funds"/>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5">
    <w:name w:val="List Paragraph"/>
    <w:basedOn w:val="1"/>
    <w:qFormat/>
    <w:uiPriority w:val="34"/>
    <w:pPr>
      <w:ind w:firstLine="420" w:firstLineChars="200"/>
    </w:pPr>
  </w:style>
  <w:style w:type="character" w:customStyle="1" w:styleId="16">
    <w:name w:val="cf01"/>
    <w:basedOn w:val="8"/>
    <w:qFormat/>
    <w:uiPriority w:val="0"/>
    <w:rPr>
      <w:rFonts w:hint="eastAsia" w:ascii="Microsoft YaHei UI" w:hAnsi="Microsoft YaHei UI" w:eastAsia="Microsoft YaHei UI"/>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3670</Words>
  <Characters>4332</Characters>
  <Lines>32</Lines>
  <Paragraphs>9</Paragraphs>
  <TotalTime>85</TotalTime>
  <ScaleCrop>false</ScaleCrop>
  <LinksUpToDate>false</LinksUpToDate>
  <CharactersWithSpaces>4396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2025-01-02T01:23:00Z</dcterms:created>
  <dc:creator>user</dc:creator>
  <cp:lastModifiedBy>张帅磊</cp:lastModifiedBy>
  <cp:lastPrinted>2023-11-08T08:08:00Z</cp:lastPrinted>
  <dcterms:modified xsi:type="dcterms:W3CDTF">2026-06-30T00:08:54Z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9067f0da-b835-43db-8eb3-b2f4aeeb5a72</vt:lpwstr>
  </property>
  <property fmtid="{D5CDD505-2E9C-101B-9397-08002B2CF9AE}" pid="3" name="KSOTemplateDocerSaveRecord">
    <vt:lpwstr>eyJoZGlkIjoiNGZlOTE3NmU2NzYzNTkyZTM0ZGY1NTZkYTk3ZTdkYmIiLCJ1c2VySWQiOiIxNzg0MDE3NjYyIn0=</vt:lpwstr>
  </property>
  <property fmtid="{D5CDD505-2E9C-101B-9397-08002B2CF9AE}" pid="4" name="KSOProductBuildVer">
    <vt:lpwstr>2052-12.1.0.23542</vt:lpwstr>
  </property>
  <property fmtid="{D5CDD505-2E9C-101B-9397-08002B2CF9AE}" pid="5" name="ICV">
    <vt:lpwstr>0D863B5E6A1B4FAA955EF9B3B703FEC8_12</vt:lpwstr>
  </property>
</Properties>
</file>