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7212B0">
      <w:pPr>
        <w:spacing w:before="312" w:beforeLines="100" w:after="312" w:afterLines="100" w:line="360" w:lineRule="auto"/>
        <w:jc w:val="center"/>
        <w:rPr>
          <w:rFonts w:ascii="Times New Roman" w:hAnsi="Times New Roman" w:eastAsia="黑体" w:cs="黑体"/>
          <w:b/>
          <w:bCs/>
          <w:sz w:val="36"/>
          <w:szCs w:val="36"/>
        </w:rPr>
      </w:pPr>
      <w:r>
        <w:rPr>
          <w:rFonts w:ascii="Times New Roman" w:hAnsi="Times New Roman" w:eastAsia="黑体" w:cs="黑体"/>
          <w:b/>
          <w:bCs/>
          <w:sz w:val="36"/>
          <w:szCs w:val="36"/>
        </w:rPr>
        <w:t>技术参数</w:t>
      </w:r>
    </w:p>
    <w:p w14:paraId="5443A175">
      <w:pPr>
        <w:spacing w:line="360" w:lineRule="auto"/>
        <w:ind w:firstLine="480" w:firstLineChars="200"/>
        <w:jc w:val="left"/>
        <w:rPr>
          <w:rFonts w:ascii="Times New Roman" w:hAnsi="Times New Roman" w:eastAsia="黑体" w:cs="黑体"/>
          <w:sz w:val="24"/>
          <w:szCs w:val="24"/>
        </w:rPr>
      </w:pPr>
      <w:r>
        <w:rPr>
          <w:rFonts w:hint="eastAsia" w:ascii="Times New Roman" w:hAnsi="Times New Roman" w:eastAsia="黑体" w:cs="黑体"/>
          <w:sz w:val="24"/>
          <w:szCs w:val="24"/>
        </w:rPr>
        <w:t>一、采购需求符合的标准</w:t>
      </w:r>
    </w:p>
    <w:p w14:paraId="7B1F87B0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采购系统应满足上述标准对操作环境符合洁净安全要求，并对精子浓度、活力、形态学分析、人工智能算法性能、显微成像性能及三维重构功能的基本要求。在保证充分竞争的前提下，鼓励供应商提供高于标准的技术指标，例如更高的成像分辨率、更低的光毒性、更优的三维重建精度。系统同时应参照</w:t>
      </w:r>
      <w:r>
        <w:rPr>
          <w:rFonts w:ascii="仿宋" w:hAnsi="仿宋" w:eastAsia="仿宋" w:cs="仿宋"/>
          <w:sz w:val="24"/>
          <w:szCs w:val="24"/>
        </w:rPr>
        <w:t>ESHRE伊斯坦布尔共识（2025年修订版）对囊胚扩张程度、内细胞团及滋养层质量进行自动量化评估。所有标准均以现行有效版本为准。</w:t>
      </w:r>
    </w:p>
    <w:p w14:paraId="3112BD33">
      <w:pPr>
        <w:spacing w:line="360" w:lineRule="auto"/>
        <w:ind w:firstLine="241" w:firstLineChars="100"/>
        <w:jc w:val="left"/>
        <w:rPr>
          <w:rFonts w:ascii="Times New Roman" w:hAnsi="Times New Roman" w:eastAsia="黑体" w:cs="黑体"/>
          <w:b/>
          <w:bCs/>
          <w:sz w:val="24"/>
          <w:szCs w:val="24"/>
        </w:rPr>
      </w:pPr>
      <w:r>
        <w:rPr>
          <w:rFonts w:hint="eastAsia" w:ascii="Times New Roman" w:hAnsi="Times New Roman" w:eastAsia="黑体" w:cs="黑体"/>
          <w:b/>
          <w:bCs/>
          <w:sz w:val="24"/>
          <w:szCs w:val="24"/>
        </w:rPr>
        <w:t>二、技术要求</w:t>
      </w:r>
    </w:p>
    <w:p w14:paraId="38B0A206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1.包1：</w:t>
      </w:r>
    </w:p>
    <w:p w14:paraId="36F1099F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1.1 采购标的1：囊胚形貌三维重构及精子优选分析系统</w:t>
      </w:r>
    </w:p>
    <w:p w14:paraId="580AE629"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主要技术性能指标和配置要求：</w:t>
      </w:r>
    </w:p>
    <w:p w14:paraId="0483B9F6"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系统为面向辅助生殖及胚胎实验室的专业化智能检测平台，须具备高精度显微成像、三维数字重构及人工智能分析等技术，实现囊胚三维结构重建与精子优选分析。系统应可对胚胎形态学参数进行定量、客观评估，并对精子</w:t>
      </w:r>
      <w:r>
        <w:rPr>
          <w:rFonts w:ascii="仿宋" w:hAnsi="仿宋" w:eastAsia="仿宋"/>
          <w:sz w:val="24"/>
          <w:szCs w:val="24"/>
        </w:rPr>
        <w:t>DNA</w:t>
      </w:r>
      <w:r>
        <w:rPr>
          <w:rFonts w:hint="eastAsia" w:ascii="仿宋" w:hAnsi="仿宋" w:eastAsia="仿宋"/>
          <w:sz w:val="24"/>
          <w:szCs w:val="24"/>
        </w:rPr>
        <w:t>损伤等指标进行智能化筛选，提高胚胎评估与精子选择的科学性、准确性与可重复性。整体方案应具备成熟的临床应用基础与较强的科研拓展能力，满足高水平辅助生殖中心日常诊疗与科学研究的需求。</w:t>
      </w:r>
    </w:p>
    <w:p w14:paraId="0CC60FF1"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ascii="仿宋" w:hAnsi="仿宋" w:eastAsia="仿宋"/>
          <w:b/>
          <w:bCs/>
          <w:sz w:val="24"/>
          <w:szCs w:val="24"/>
        </w:rPr>
        <w:t>.硬件要求</w:t>
      </w:r>
      <w:r>
        <w:rPr>
          <w:rFonts w:ascii="仿宋" w:hAnsi="仿宋" w:eastAsia="仿宋"/>
          <w:sz w:val="24"/>
          <w:szCs w:val="24"/>
        </w:rPr>
        <w:t>:</w:t>
      </w:r>
    </w:p>
    <w:p w14:paraId="255E46F3"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ascii="仿宋" w:hAnsi="仿宋" w:eastAsia="仿宋"/>
          <w:b/>
          <w:bCs/>
          <w:sz w:val="24"/>
          <w:szCs w:val="24"/>
        </w:rPr>
        <w:t xml:space="preserve">.1 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电脑</w:t>
      </w:r>
      <w:r>
        <w:rPr>
          <w:rFonts w:ascii="仿宋" w:hAnsi="仿宋" w:eastAsia="仿宋"/>
          <w:b/>
          <w:bCs/>
          <w:sz w:val="24"/>
          <w:szCs w:val="24"/>
        </w:rPr>
        <w:t>（1台）</w:t>
      </w:r>
    </w:p>
    <w:p w14:paraId="4D65FDF9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1）CPU: 不低于Intel（R）Core(TM) i7-14700F或同等及以上性能处理器；</w:t>
      </w:r>
    </w:p>
    <w:p w14:paraId="5CCD194A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2）内存：32GB及以上；</w:t>
      </w:r>
    </w:p>
    <w:p w14:paraId="435011EF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3）硬盘：2TB及以上；</w:t>
      </w:r>
    </w:p>
    <w:p w14:paraId="71CCE6CC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4）显卡：独立显卡，不低于 NVIDIA RTX 5080或等同性能及以上；</w:t>
      </w:r>
    </w:p>
    <w:p w14:paraId="03600CD9"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5）操作系统：预装正版Microsoft Window10及以上版本操作系统，具备良好</w:t>
      </w:r>
      <w:r>
        <w:rPr>
          <w:rFonts w:hint="eastAsia" w:ascii="仿宋" w:hAnsi="仿宋" w:eastAsia="仿宋"/>
          <w:sz w:val="24"/>
          <w:szCs w:val="24"/>
        </w:rPr>
        <w:t>；</w:t>
      </w:r>
    </w:p>
    <w:p w14:paraId="18E40000">
      <w:pPr>
        <w:ind w:firstLine="240" w:firstLineChars="1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/>
          <w:sz w:val="24"/>
          <w:szCs w:val="24"/>
        </w:rPr>
        <w:t>)显示器</w:t>
      </w:r>
      <w:r>
        <w:rPr>
          <w:rFonts w:ascii="仿宋" w:hAnsi="仿宋" w:eastAsia="仿宋"/>
          <w:sz w:val="24"/>
          <w:szCs w:val="24"/>
        </w:rPr>
        <w:t>分辨率：1920×1080及以上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ascii="仿宋" w:hAnsi="仿宋" w:eastAsia="仿宋"/>
          <w:sz w:val="24"/>
          <w:szCs w:val="24"/>
        </w:rPr>
        <w:t>屏幕尺寸：27寸及以上；</w:t>
      </w:r>
    </w:p>
    <w:p w14:paraId="24F91D8B"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CCD</w:t>
      </w:r>
      <w:r>
        <w:rPr>
          <w:rFonts w:ascii="仿宋" w:hAnsi="仿宋" w:eastAsia="仿宋"/>
          <w:b/>
          <w:bCs/>
          <w:sz w:val="24"/>
          <w:szCs w:val="24"/>
        </w:rPr>
        <w:t>相机（1台）</w:t>
      </w:r>
    </w:p>
    <w:p w14:paraId="321BBEA7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1）传感器像素：1200万像素及以上；</w:t>
      </w:r>
    </w:p>
    <w:p w14:paraId="6D6DE0BC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2）视频采集帧率：29fps及以上；</w:t>
      </w:r>
    </w:p>
    <w:p w14:paraId="2B5384DC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3）静态图像采集分辨率：4000×3000及以上；</w:t>
      </w:r>
    </w:p>
    <w:p w14:paraId="3E1CA970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4）图像数据接口：标配USB 3.0接口；</w:t>
      </w:r>
    </w:p>
    <w:p w14:paraId="6C9D0C65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5）镜头接口：标准C接口；</w:t>
      </w:r>
    </w:p>
    <w:p w14:paraId="5FF16F4F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6）重量：≤85 g；</w:t>
      </w:r>
    </w:p>
    <w:p w14:paraId="746CEF71"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7）同步方式：支持硬件触发、软件触发以及自由运行等多种同步采集模式；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3</w:t>
      </w:r>
      <w:r>
        <w:rPr>
          <w:rFonts w:ascii="仿宋" w:hAnsi="仿宋" w:eastAsia="仿宋"/>
          <w:b/>
          <w:bCs/>
          <w:sz w:val="24"/>
          <w:szCs w:val="24"/>
        </w:rPr>
        <w:t xml:space="preserve"> 脚踏板（1个）</w:t>
      </w:r>
    </w:p>
    <w:p w14:paraId="198FFBDB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1）接口类型：USB接口；</w:t>
      </w:r>
    </w:p>
    <w:p w14:paraId="43BDB90E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2）结构设计：底部配置防滑垫，具备良好的操作稳定性；</w:t>
      </w:r>
    </w:p>
    <w:p w14:paraId="60712646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2）使用寿命：机械操作寿命 ≥ 100 万次；</w:t>
      </w:r>
    </w:p>
    <w:p w14:paraId="5B5C46D7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3）系统兼容：支持Windows、Linux等主流操作系统；</w:t>
      </w:r>
    </w:p>
    <w:p w14:paraId="268C9095"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4</w:t>
      </w:r>
      <w:r>
        <w:rPr>
          <w:rFonts w:ascii="仿宋" w:hAnsi="仿宋" w:eastAsia="仿宋"/>
          <w:b/>
          <w:bCs/>
          <w:sz w:val="24"/>
          <w:szCs w:val="24"/>
        </w:rPr>
        <w:t xml:space="preserve"> 辅助生殖工作站（1台）</w:t>
      </w:r>
    </w:p>
    <w:p w14:paraId="5E01C025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1）结构与布局：采用双人位操作设计，洁净区内可同时放置一套显微操作系统及体视显微镜，操作空间布局合理，互不干扰；</w:t>
      </w:r>
    </w:p>
    <w:p w14:paraId="04352283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2）过滤系统配备：预滤系统及H-14高效HEPA过滤系统各一套</w:t>
      </w:r>
    </w:p>
    <w:p w14:paraId="0579B19E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3）预滤系统：含聚酯材料及活性炭的预过滤层，符合EU3标准；</w:t>
      </w:r>
    </w:p>
    <w:p w14:paraId="289FAC74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4）H-14高效HEPA过滤系统：符合欧洲EN1822标准，对直径0.3</w:t>
      </w:r>
      <w:r>
        <w:rPr>
          <w:rFonts w:ascii="Calibri" w:hAnsi="Calibri" w:eastAsia="仿宋" w:cs="Calibri"/>
          <w:sz w:val="24"/>
          <w:szCs w:val="24"/>
        </w:rPr>
        <w:t>µ</w:t>
      </w:r>
      <w:r>
        <w:rPr>
          <w:rFonts w:ascii="仿宋" w:hAnsi="仿宋" w:eastAsia="仿宋"/>
          <w:sz w:val="24"/>
          <w:szCs w:val="24"/>
        </w:rPr>
        <w:t>m以上粒子达到99.999%以上的清除率，且过滤器内特殊的负压设计；</w:t>
      </w:r>
    </w:p>
    <w:p w14:paraId="10A79E82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5）过滤系统风机：在全速运行工况下，噪声（按 ISO 6081 标准测试）≤ 51 dB(A)；在半速运行工况下，噪声 ≤ 30 dB(A)；</w:t>
      </w:r>
    </w:p>
    <w:p w14:paraId="097895D4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6）工作区照明： 内置 LED 照明系统，光源总光通量 ≥ 4840 lm，亮度可在 10%～100% 范围内连续可调，满足不同操作环节对光照强度的差异化需求；</w:t>
      </w:r>
    </w:p>
    <w:p w14:paraId="7218AD1F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7）气流组织设计：采用全垂直单向流设计，进风口及预过滤装置位于工作站顶部；平均风速 ≥ 0.32 m/s，风速不均匀度 ≤ ±10%；风速档位可调，并可通过数字液晶屏实时显示；预过滤膜支持顶部便捷更换，无需复杂拆卸。</w:t>
      </w:r>
    </w:p>
    <w:p w14:paraId="37B66690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8）风速报警功能：系统具备风速监测与报警功能，当实测风速低于设定阈值时，自动发出滤膜压力报警提示，提醒用户及时更换过滤器；</w:t>
      </w:r>
    </w:p>
    <w:p w14:paraId="6B897628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9）恒温台面控制：台面恒温控制系统温度可调范围：室温～43℃，默认工作温度为 37℃；台面温度均匀性 ≤ ±0.2℃，温度调节精度 ≤ ±0.1℃，确保胚胎及精子在操作过程中处于稳定、适宜的温控环境；</w:t>
      </w:r>
    </w:p>
    <w:p w14:paraId="1386C030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10）显示与影像系统：洁净区背板内嵌 ≥21.5 英寸液晶显示屏，支持连接显微镜 CCD成像系统，可实时显示、录制显微操作过程，便于教学与科研记录;</w:t>
      </w:r>
    </w:p>
    <w:p w14:paraId="3387BB65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11）外形与安装尺寸：整机外形尺寸 ≤ 1931 × 695 × 2110–2160 mm；支架高度调节范围：850–900 mm；净化区内部有效容积 ≤ 1824 × 590 × 752 mm；前窗最大开启高度 ≤ 460 mm；</w:t>
      </w:r>
    </w:p>
    <w:p w14:paraId="792CCFE1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12）台面材质：采用专为辅助生殖实验室设计的专用台面，材质为安全环保材料，表面呈白色，有相关专利（需提供证明材料） ；</w:t>
      </w:r>
    </w:p>
    <w:p w14:paraId="45031E61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13）数显式控制面板可控制灯光、风速大小，台面恒温区域一键启停。控制面板设计在上方的前置面板，与净化操作区分离，不会造成按键误触</w:t>
      </w:r>
      <w:r>
        <w:rPr>
          <w:rFonts w:hint="eastAsia" w:ascii="仿宋" w:hAnsi="仿宋" w:eastAsia="仿宋"/>
          <w:sz w:val="24"/>
          <w:szCs w:val="24"/>
        </w:rPr>
        <w:t>；</w:t>
      </w:r>
    </w:p>
    <w:p w14:paraId="7AC66F88"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体式显微镜（1台）</w:t>
      </w:r>
    </w:p>
    <w:p w14:paraId="1E251D7E"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  </w:t>
      </w:r>
      <w:r>
        <w:rPr>
          <w:rFonts w:hint="eastAsia" w:ascii="仿宋" w:hAnsi="仿宋" w:eastAsia="仿宋"/>
          <w:sz w:val="24"/>
          <w:szCs w:val="24"/>
        </w:rPr>
        <w:t>1）提供最高的12.7倍（0.63-8x）变焦比；</w:t>
      </w:r>
    </w:p>
    <w:p w14:paraId="1F3392F3"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2）采用复消色差光学系统，可实现高级色差校正，没有模糊或彩色条纹；</w:t>
      </w:r>
    </w:p>
    <w:p w14:paraId="2C9563FB">
      <w:pPr>
        <w:ind w:firstLine="240" w:firstLineChars="1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3）双物镜转换器提供同轴成像，可以使得观察孔的底部，精确的测量和景深扩展成像不会失真；</w:t>
      </w:r>
    </w:p>
    <w:p w14:paraId="5961E4E0">
      <w:pPr>
        <w:ind w:firstLine="240" w:firstLineChars="1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4）超薄型透射光底座和LED 透射照明底座可轻松实现对样品的观察；</w:t>
      </w:r>
    </w:p>
    <w:p w14:paraId="4DCF6441"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/>
          <w:b/>
          <w:bCs/>
          <w:sz w:val="24"/>
          <w:szCs w:val="24"/>
        </w:rPr>
        <w:t>双通道玻片扫描影像系统（1台）</w:t>
      </w:r>
    </w:p>
    <w:p w14:paraId="1AE47205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1）设备组成：由机械结构及电气控制系统、图像采集模块、双通道光路模块、机体外壳等组成；</w:t>
      </w:r>
    </w:p>
    <w:p w14:paraId="48F6D6FF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2）机械要求：单片平均扫描时间≤120s；</w:t>
      </w:r>
    </w:p>
    <w:p w14:paraId="40A2E2C8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3）物镜放大率：误差允许≤±5%；</w:t>
      </w:r>
    </w:p>
    <w:p w14:paraId="2F017AEF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4）适配耗材：本设备应适配玻片标准尺寸，即75mm*25mm*1mm；</w:t>
      </w:r>
    </w:p>
    <w:p w14:paraId="4B4FC2EC"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囊胚3D重构及精子优选分析软件（1套） </w:t>
      </w:r>
    </w:p>
    <w:p w14:paraId="081D97AD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</w:t>
      </w:r>
      <w:r>
        <w:rPr>
          <w:rFonts w:ascii="仿宋" w:hAnsi="仿宋" w:eastAsia="仿宋"/>
          <w:color w:val="FF0000"/>
          <w:sz w:val="24"/>
          <w:szCs w:val="24"/>
        </w:rPr>
        <w:t>1）</w:t>
      </w:r>
      <w:r>
        <w:rPr>
          <w:rFonts w:hint="eastAsia" w:ascii="仿宋" w:hAnsi="仿宋" w:eastAsia="仿宋"/>
          <w:sz w:val="24"/>
          <w:szCs w:val="24"/>
        </w:rPr>
        <w:t>囊胚三维重构系统</w:t>
      </w:r>
      <w:r>
        <w:rPr>
          <w:rFonts w:ascii="仿宋" w:hAnsi="仿宋" w:eastAsia="仿宋"/>
          <w:sz w:val="24"/>
          <w:szCs w:val="24"/>
        </w:rPr>
        <w:t>：具备图像采集、囊胚三维重构功能；支持中文操作界面，交互逻辑清晰，操作简便，符合临床使用习惯；</w:t>
      </w:r>
    </w:p>
    <w:p w14:paraId="72507C38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2）</w:t>
      </w:r>
      <w:r>
        <w:rPr>
          <w:rFonts w:hint="eastAsia" w:ascii="仿宋" w:hAnsi="仿宋" w:eastAsia="仿宋"/>
          <w:sz w:val="24"/>
          <w:szCs w:val="24"/>
        </w:rPr>
        <w:t>囊胚三维重构系统</w:t>
      </w:r>
      <w:r>
        <w:rPr>
          <w:rFonts w:ascii="仿宋" w:hAnsi="仿宋" w:eastAsia="仿宋"/>
          <w:sz w:val="24"/>
          <w:szCs w:val="24"/>
        </w:rPr>
        <w:t>：支持静态图像保存及高清视频录制功能，图像及视频文件应可按时间、样本编号等信息进行分类存储，便于后续查阅与归档；</w:t>
      </w:r>
    </w:p>
    <w:p w14:paraId="14BA6F46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color w:val="FF0000"/>
          <w:sz w:val="24"/>
          <w:szCs w:val="24"/>
        </w:rPr>
        <w:t xml:space="preserve"> 3）</w:t>
      </w:r>
      <w:r>
        <w:rPr>
          <w:rFonts w:hint="eastAsia" w:ascii="仿宋" w:hAnsi="仿宋" w:eastAsia="仿宋"/>
          <w:sz w:val="24"/>
          <w:szCs w:val="24"/>
        </w:rPr>
        <w:t>囊胚</w:t>
      </w:r>
      <w:r>
        <w:rPr>
          <w:rFonts w:ascii="仿宋" w:hAnsi="仿宋" w:eastAsia="仿宋"/>
          <w:sz w:val="24"/>
          <w:szCs w:val="24"/>
        </w:rPr>
        <w:t>三维重构与分析：支</w:t>
      </w:r>
      <w:bookmarkStart w:id="0" w:name="_GoBack"/>
      <w:bookmarkEnd w:id="0"/>
      <w:r>
        <w:rPr>
          <w:rFonts w:ascii="仿宋" w:hAnsi="仿宋" w:eastAsia="仿宋"/>
          <w:sz w:val="24"/>
          <w:szCs w:val="24"/>
        </w:rPr>
        <w:t>持基于多帧图像或视频序列的囊胚三维结构重构；具备囊胚内部结构（包括内细胞团、滋养层细胞等）的三维分割、可视化展示及旋转观察功能；</w:t>
      </w:r>
    </w:p>
    <w:p w14:paraId="4F4B9EE1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4）</w:t>
      </w:r>
      <w:r>
        <w:rPr>
          <w:rFonts w:hint="eastAsia" w:ascii="仿宋" w:hAnsi="仿宋" w:eastAsia="仿宋"/>
          <w:sz w:val="24"/>
          <w:szCs w:val="24"/>
        </w:rPr>
        <w:t>囊胚</w:t>
      </w:r>
      <w:r>
        <w:rPr>
          <w:rFonts w:ascii="仿宋" w:hAnsi="仿宋" w:eastAsia="仿宋"/>
          <w:sz w:val="24"/>
          <w:szCs w:val="24"/>
        </w:rPr>
        <w:t>定量数据分析：支持对三维数据进行自动测量与统计分析，至少包括内细胞团面积、滋养层细胞数量、滋养层细胞密度等关键形态学参数，并可生成分析报告；</w:t>
      </w:r>
    </w:p>
    <w:p w14:paraId="231AFE66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5）</w:t>
      </w:r>
      <w:r>
        <w:rPr>
          <w:rFonts w:hint="eastAsia" w:ascii="仿宋" w:hAnsi="仿宋" w:eastAsia="仿宋"/>
          <w:sz w:val="24"/>
          <w:szCs w:val="24"/>
        </w:rPr>
        <w:t>精子优选分析软件：</w:t>
      </w:r>
      <w:r>
        <w:rPr>
          <w:rFonts w:ascii="仿宋" w:hAnsi="仿宋" w:eastAsia="仿宋"/>
          <w:sz w:val="24"/>
          <w:szCs w:val="24"/>
        </w:rPr>
        <w:t>具备精子 DNA 完整性检测功能，可辅助识别 DNA 碎片化程度较低的优质精子，提高优选准确性；</w:t>
      </w:r>
    </w:p>
    <w:p w14:paraId="52D043B0">
      <w:pPr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 xml:space="preserve">  6）</w:t>
      </w:r>
      <w:r>
        <w:rPr>
          <w:rFonts w:hint="eastAsia" w:ascii="仿宋" w:hAnsi="仿宋" w:eastAsia="仿宋"/>
          <w:sz w:val="24"/>
          <w:szCs w:val="24"/>
        </w:rPr>
        <w:t>精子优选分析软件：</w:t>
      </w:r>
      <w:r>
        <w:rPr>
          <w:rFonts w:ascii="仿宋" w:hAnsi="仿宋" w:eastAsia="仿宋"/>
          <w:sz w:val="24"/>
          <w:szCs w:val="24"/>
        </w:rPr>
        <w:t>支持对会影响DFI检测结果的全部环节（包括：试剂、设备、操作、样本）进行全流程质控</w:t>
      </w:r>
      <w:r>
        <w:rPr>
          <w:rFonts w:hint="eastAsia" w:ascii="仿宋" w:hAnsi="仿宋" w:eastAsia="仿宋"/>
          <w:sz w:val="24"/>
          <w:szCs w:val="24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A93"/>
    <w:rsid w:val="000515A8"/>
    <w:rsid w:val="00061450"/>
    <w:rsid w:val="0008580B"/>
    <w:rsid w:val="0009175D"/>
    <w:rsid w:val="00095428"/>
    <w:rsid w:val="000B6403"/>
    <w:rsid w:val="000F37F8"/>
    <w:rsid w:val="000F47CE"/>
    <w:rsid w:val="001073BC"/>
    <w:rsid w:val="001524BD"/>
    <w:rsid w:val="00193FA1"/>
    <w:rsid w:val="001A65DA"/>
    <w:rsid w:val="001B0815"/>
    <w:rsid w:val="001D4A93"/>
    <w:rsid w:val="001D6B51"/>
    <w:rsid w:val="00226918"/>
    <w:rsid w:val="002C3F95"/>
    <w:rsid w:val="002E2C22"/>
    <w:rsid w:val="002F0087"/>
    <w:rsid w:val="003068C5"/>
    <w:rsid w:val="003079B3"/>
    <w:rsid w:val="0032217F"/>
    <w:rsid w:val="003E48BC"/>
    <w:rsid w:val="00400643"/>
    <w:rsid w:val="004248BE"/>
    <w:rsid w:val="00427797"/>
    <w:rsid w:val="00482E72"/>
    <w:rsid w:val="004A4C88"/>
    <w:rsid w:val="004C192F"/>
    <w:rsid w:val="004C64B7"/>
    <w:rsid w:val="0051142E"/>
    <w:rsid w:val="00531AA0"/>
    <w:rsid w:val="00544C94"/>
    <w:rsid w:val="00546BD7"/>
    <w:rsid w:val="00563314"/>
    <w:rsid w:val="005A6D01"/>
    <w:rsid w:val="00633F25"/>
    <w:rsid w:val="00650F3A"/>
    <w:rsid w:val="006B6286"/>
    <w:rsid w:val="006E4F4B"/>
    <w:rsid w:val="006E654C"/>
    <w:rsid w:val="00705509"/>
    <w:rsid w:val="00707295"/>
    <w:rsid w:val="00720A3A"/>
    <w:rsid w:val="00721114"/>
    <w:rsid w:val="00782607"/>
    <w:rsid w:val="00786B69"/>
    <w:rsid w:val="0079658A"/>
    <w:rsid w:val="007B387D"/>
    <w:rsid w:val="007D0AE6"/>
    <w:rsid w:val="008319ED"/>
    <w:rsid w:val="0084041A"/>
    <w:rsid w:val="00860DA2"/>
    <w:rsid w:val="008F7BEE"/>
    <w:rsid w:val="0091780E"/>
    <w:rsid w:val="00922485"/>
    <w:rsid w:val="00923DBA"/>
    <w:rsid w:val="00946DB4"/>
    <w:rsid w:val="00991631"/>
    <w:rsid w:val="009A1E7D"/>
    <w:rsid w:val="009A6EC3"/>
    <w:rsid w:val="009C64D7"/>
    <w:rsid w:val="009F08C7"/>
    <w:rsid w:val="009F49BD"/>
    <w:rsid w:val="00A33784"/>
    <w:rsid w:val="00A613F5"/>
    <w:rsid w:val="00A91CBB"/>
    <w:rsid w:val="00AA5E16"/>
    <w:rsid w:val="00AC273E"/>
    <w:rsid w:val="00AD121D"/>
    <w:rsid w:val="00AE7A12"/>
    <w:rsid w:val="00AF1EC1"/>
    <w:rsid w:val="00AF2169"/>
    <w:rsid w:val="00AF49C5"/>
    <w:rsid w:val="00B40B01"/>
    <w:rsid w:val="00B45C0A"/>
    <w:rsid w:val="00B651BA"/>
    <w:rsid w:val="00B75E1C"/>
    <w:rsid w:val="00B75F39"/>
    <w:rsid w:val="00BB1305"/>
    <w:rsid w:val="00BC218E"/>
    <w:rsid w:val="00BC2BCD"/>
    <w:rsid w:val="00BD1E0E"/>
    <w:rsid w:val="00BF13BA"/>
    <w:rsid w:val="00C04E90"/>
    <w:rsid w:val="00C10357"/>
    <w:rsid w:val="00C33A31"/>
    <w:rsid w:val="00C474F9"/>
    <w:rsid w:val="00C63A79"/>
    <w:rsid w:val="00CF29B0"/>
    <w:rsid w:val="00D25A92"/>
    <w:rsid w:val="00DC4E46"/>
    <w:rsid w:val="00DC5D2B"/>
    <w:rsid w:val="00DE0A66"/>
    <w:rsid w:val="00E010FE"/>
    <w:rsid w:val="00E12A3C"/>
    <w:rsid w:val="00E410FC"/>
    <w:rsid w:val="00E454A1"/>
    <w:rsid w:val="00E8183F"/>
    <w:rsid w:val="00E91250"/>
    <w:rsid w:val="00EC6B02"/>
    <w:rsid w:val="00F278B9"/>
    <w:rsid w:val="00F62170"/>
    <w:rsid w:val="00F648D7"/>
    <w:rsid w:val="00F8206D"/>
    <w:rsid w:val="00F87219"/>
    <w:rsid w:val="00F90D1E"/>
    <w:rsid w:val="00F93517"/>
    <w:rsid w:val="00FD096D"/>
    <w:rsid w:val="00FE79C3"/>
    <w:rsid w:val="0136732D"/>
    <w:rsid w:val="04CB0AE4"/>
    <w:rsid w:val="09093579"/>
    <w:rsid w:val="0BF901E0"/>
    <w:rsid w:val="0C230DF6"/>
    <w:rsid w:val="0D0C337D"/>
    <w:rsid w:val="121F0548"/>
    <w:rsid w:val="12260CF8"/>
    <w:rsid w:val="12614426"/>
    <w:rsid w:val="178766DD"/>
    <w:rsid w:val="1A2A56C6"/>
    <w:rsid w:val="1C422BD3"/>
    <w:rsid w:val="1CBB7379"/>
    <w:rsid w:val="1D085BCA"/>
    <w:rsid w:val="1DA578BD"/>
    <w:rsid w:val="1F627352"/>
    <w:rsid w:val="20653333"/>
    <w:rsid w:val="23A128D5"/>
    <w:rsid w:val="23BA1BE8"/>
    <w:rsid w:val="25D24FC7"/>
    <w:rsid w:val="29185144"/>
    <w:rsid w:val="2F417CB7"/>
    <w:rsid w:val="302663B3"/>
    <w:rsid w:val="302F14C5"/>
    <w:rsid w:val="31B47C77"/>
    <w:rsid w:val="32805DAB"/>
    <w:rsid w:val="35645510"/>
    <w:rsid w:val="38AF73EA"/>
    <w:rsid w:val="39F96B6F"/>
    <w:rsid w:val="3C681D8A"/>
    <w:rsid w:val="407F6327"/>
    <w:rsid w:val="44935E12"/>
    <w:rsid w:val="483376F0"/>
    <w:rsid w:val="48DF402C"/>
    <w:rsid w:val="4EC25549"/>
    <w:rsid w:val="53E05865"/>
    <w:rsid w:val="5B182775"/>
    <w:rsid w:val="5DEC009D"/>
    <w:rsid w:val="5E176D14"/>
    <w:rsid w:val="5F751F44"/>
    <w:rsid w:val="65177F59"/>
    <w:rsid w:val="66FB5425"/>
    <w:rsid w:val="67252CD4"/>
    <w:rsid w:val="69134D93"/>
    <w:rsid w:val="6BC32289"/>
    <w:rsid w:val="75C94940"/>
    <w:rsid w:val="7F66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uiPriority w:val="99"/>
    <w:rPr>
      <w:b/>
      <w:bCs/>
    </w:rPr>
  </w:style>
  <w:style w:type="character" w:styleId="9">
    <w:name w:val="annotation reference"/>
    <w:basedOn w:val="8"/>
    <w:semiHidden/>
    <w:unhideWhenUsed/>
    <w:uiPriority w:val="99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文字 字符"/>
    <w:basedOn w:val="8"/>
    <w:link w:val="2"/>
    <w:semiHidden/>
    <w:uiPriority w:val="99"/>
    <w:rPr>
      <w:kern w:val="2"/>
      <w:sz w:val="21"/>
      <w:szCs w:val="22"/>
    </w:rPr>
  </w:style>
  <w:style w:type="character" w:customStyle="1" w:styleId="13">
    <w:name w:val="批注主题 字符"/>
    <w:basedOn w:val="12"/>
    <w:link w:val="6"/>
    <w:semiHidden/>
    <w:qFormat/>
    <w:uiPriority w:val="99"/>
    <w:rPr>
      <w:b/>
      <w:bCs/>
      <w:kern w:val="2"/>
      <w:sz w:val="21"/>
      <w:szCs w:val="22"/>
    </w:rPr>
  </w:style>
  <w:style w:type="character" w:customStyle="1" w:styleId="14">
    <w:name w:val="批注框文本 字符"/>
    <w:basedOn w:val="8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988</Words>
  <Characters>1132</Characters>
  <Lines>19</Lines>
  <Paragraphs>5</Paragraphs>
  <TotalTime>50</TotalTime>
  <ScaleCrop>false</ScaleCrop>
  <LinksUpToDate>false</LinksUpToDate>
  <CharactersWithSpaces>1188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2026-06-08T09:39:00Z</dcterms:created>
  <dc:creator>Miko Tian</dc:creator>
  <cp:lastModifiedBy>张帅磊</cp:lastModifiedBy>
  <dcterms:modified xsi:type="dcterms:W3CDTF">2026-09-15T00:20:14Z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8DE5EC65B68F416BB31962D766879C4D_13</vt:lpwstr>
  </property>
</Properties>
</file>