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F35314">
      <w:pPr>
        <w:ind w:firstLine="0" w:firstLineChars="0"/>
        <w:jc w:val="center"/>
        <w:rPr>
          <w:sz w:val="24"/>
        </w:rPr>
      </w:pPr>
      <w:r>
        <w:rPr>
          <w:rFonts w:hint="eastAsia"/>
          <w:sz w:val="24"/>
        </w:rPr>
        <w:t>双转盘共聚焦高内涵细胞成像系统</w:t>
      </w:r>
    </w:p>
    <w:p w14:paraId="64E01B6D">
      <w:pPr>
        <w:ind w:firstLine="0" w:firstLineChars="0"/>
      </w:pPr>
      <w:r>
        <w:rPr>
          <w:rFonts w:hint="eastAsia"/>
        </w:rPr>
        <w:t>1、系统组件包括中央控制软件、自动化机械臂、活细胞成像系统、自动化CO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培养箱、自动化液体处理工作站、多功能检测模块、防震系统台、洁净级生物防护罩。</w:t>
      </w:r>
    </w:p>
    <w:p w14:paraId="04891D29">
      <w:pPr>
        <w:ind w:firstLine="0" w:firstLineChars="0"/>
      </w:pPr>
      <w:r>
        <w:rPr>
          <w:rFonts w:hint="eastAsia"/>
        </w:rPr>
        <w:t>2、系统需能通过中央控制软件集成所有组件及设备，机械臂应配备不少于3个可协同移动的关节，并通过滑轨轨道整合系统所有组件及设备。</w:t>
      </w:r>
    </w:p>
    <w:p w14:paraId="1B306B57">
      <w:pPr>
        <w:ind w:firstLine="0" w:firstLineChars="0"/>
      </w:pPr>
      <w:r>
        <w:rPr>
          <w:rFonts w:hint="eastAsia"/>
        </w:rPr>
        <w:t>3、活细胞成像系统</w:t>
      </w:r>
    </w:p>
    <w:p w14:paraId="2B9299FC">
      <w:pPr>
        <w:ind w:firstLine="0" w:firstLineChars="0"/>
      </w:pPr>
      <w:r>
        <w:rPr>
          <w:rFonts w:hint="eastAsia"/>
        </w:rPr>
        <w:t>3.1、成像系统采用专业光路设计。检测模式至少包含：宽场荧光成像、明场成像、明场无标记成像和共聚焦荧光成像四种检测模式。适合标准的6-1536孔板。</w:t>
      </w:r>
    </w:p>
    <w:p w14:paraId="322A26EC">
      <w:pPr>
        <w:ind w:firstLine="0" w:firstLineChars="0"/>
      </w:pPr>
      <w:r>
        <w:rPr>
          <w:rFonts w:hint="eastAsia"/>
        </w:rPr>
        <w:t>3.2、检测器类型：SCMOS 相机：像素规格≥2160 x 2160pixel； 像素尺寸≥6.5μm x6.5μm。</w:t>
      </w:r>
    </w:p>
    <w:p w14:paraId="1624056D">
      <w:pPr>
        <w:ind w:firstLine="0" w:firstLineChars="0"/>
      </w:pPr>
      <w:r>
        <w:rPr>
          <w:rFonts w:hint="eastAsia"/>
        </w:rPr>
        <w:t>3.3、光源系统：采用≥4线固体激光光源，固体激光光源波长至少包含：405 nm，488 nm，561 nm，640 nm。</w:t>
      </w:r>
    </w:p>
    <w:p w14:paraId="7EF0EA54">
      <w:pPr>
        <w:ind w:firstLine="0" w:firstLineChars="0"/>
      </w:pPr>
      <w:r>
        <w:rPr>
          <w:rFonts w:hint="eastAsia"/>
        </w:rPr>
        <w:t>3.4、配备≥730 nm近红外LED光源用于明场成像</w:t>
      </w:r>
    </w:p>
    <w:p w14:paraId="7B5AA082">
      <w:pPr>
        <w:ind w:firstLine="0" w:firstLineChars="0"/>
      </w:pPr>
      <w:r>
        <w:rPr>
          <w:rFonts w:hint="eastAsia"/>
        </w:rPr>
        <w:t>3.5、微透镜增强型双转盘共聚焦成像：采用双转盘共聚焦成像系统，配有精准对齐的微透镜转盘和针孔转盘，转盘转速≥3000 rpm同步稳定运行，并与激光光源、 SCMOS 相机成像协调同步，保障低水平光漂白和光毒性，能够对活细胞进行长时间共聚焦成像。</w:t>
      </w:r>
    </w:p>
    <w:p w14:paraId="5ECC8F24">
      <w:pPr>
        <w:ind w:firstLine="0" w:firstLineChars="0"/>
      </w:pPr>
      <w:r>
        <w:rPr>
          <w:rFonts w:hint="eastAsia"/>
        </w:rPr>
        <w:t>3.6、快速采集模式：单相机最快≥90 帧/秒、≥948x948 像素。</w:t>
      </w:r>
    </w:p>
    <w:p w14:paraId="689C31EA">
      <w:pPr>
        <w:ind w:firstLine="0" w:firstLineChars="0"/>
      </w:pPr>
      <w:r>
        <w:rPr>
          <w:rFonts w:hint="eastAsia"/>
        </w:rPr>
        <w:t>3.7二向色镜：≥8孔位二向色镜转轮。</w:t>
      </w:r>
    </w:p>
    <w:p w14:paraId="4B33D60B">
      <w:pPr>
        <w:ind w:firstLine="0" w:firstLineChars="0"/>
      </w:pPr>
      <w:r>
        <w:rPr>
          <w:rFonts w:hint="eastAsia"/>
        </w:rPr>
        <w:t>3.8、6位物镜转轮：配备空气镜 5X（N.A.≥0.16），20X（N.A.≥0.4），40X（N.A.≥0.6）；配备水镜：20X 水镜（ N.A ≥1.0 ）、60X 水镜（N.A.≥1.1）。</w:t>
      </w:r>
    </w:p>
    <w:p w14:paraId="1EA73D63">
      <w:pPr>
        <w:ind w:firstLine="0" w:firstLineChars="0"/>
      </w:pPr>
      <w:r>
        <w:rPr>
          <w:rFonts w:hint="eastAsia"/>
        </w:rPr>
        <w:t xml:space="preserve">3.9、配置至少3孔位全角度全自动物镜补水循环系统，含电动水泵、补水管道、自动注水器。可实现整板的水镜高通量全自动扫描。 </w:t>
      </w:r>
    </w:p>
    <w:p w14:paraId="10EACD31">
      <w:pPr>
        <w:ind w:firstLine="0" w:firstLineChars="0"/>
      </w:pPr>
      <w:r>
        <w:t>3.10</w:t>
      </w:r>
      <w:r>
        <w:rPr>
          <w:rFonts w:hint="eastAsia"/>
        </w:rPr>
        <w:t>、具备内置一体化环境控制单元：温度控制：</w:t>
      </w:r>
      <w:r>
        <w:t>37-42⁰C (±1⁰C)</w:t>
      </w:r>
      <w:r>
        <w:rPr>
          <w:rFonts w:hint="eastAsia"/>
        </w:rPr>
        <w:t>；</w:t>
      </w:r>
      <w:r>
        <w:t>CO</w:t>
      </w:r>
      <w:r>
        <w:rPr>
          <w:highlight w:val="yellow"/>
          <w:vertAlign w:val="subscript"/>
        </w:rPr>
        <w:t>2</w:t>
      </w:r>
      <w:r>
        <w:t xml:space="preserve"> </w:t>
      </w:r>
      <w:r>
        <w:rPr>
          <w:rFonts w:hint="eastAsia"/>
        </w:rPr>
        <w:t>气体控制：</w:t>
      </w:r>
      <w:r>
        <w:t>1-10%(± 0.5%</w:t>
      </w:r>
      <w:r>
        <w:rPr>
          <w:rFonts w:hint="eastAsia"/>
        </w:rPr>
        <w:t>），高内涵软件一体化可监控及主动调整系统温度、</w:t>
      </w:r>
      <w:r>
        <w:t xml:space="preserve"> CO</w:t>
      </w:r>
      <w:r>
        <w:rPr>
          <w:highlight w:val="yellow"/>
          <w:vertAlign w:val="subscript"/>
        </w:rPr>
        <w:t>2</w:t>
      </w:r>
      <w:r>
        <w:rPr>
          <w:rFonts w:hint="eastAsia"/>
        </w:rPr>
        <w:t>浓度和湿度。</w:t>
      </w:r>
    </w:p>
    <w:p w14:paraId="1ACE9C8E">
      <w:pPr>
        <w:ind w:firstLine="0" w:firstLineChars="0"/>
      </w:pPr>
      <w:r>
        <w:rPr>
          <w:rFonts w:hint="eastAsia"/>
        </w:rPr>
        <w:t>4、自动化细胞培养箱</w:t>
      </w:r>
    </w:p>
    <w:p w14:paraId="0358BF91">
      <w:pPr>
        <w:ind w:firstLine="0" w:firstLineChars="0"/>
      </w:pPr>
      <w:r>
        <w:rPr>
          <w:rFonts w:hint="eastAsia"/>
        </w:rPr>
        <w:t>4.1、温度控制范围：室温及33℃~50℃；CO</w:t>
      </w:r>
      <w:r>
        <w:rPr>
          <w:rFonts w:hint="eastAsia"/>
          <w:highlight w:val="yellow"/>
          <w:vertAlign w:val="subscript"/>
        </w:rPr>
        <w:t>2</w:t>
      </w:r>
      <w:r>
        <w:rPr>
          <w:rFonts w:hint="eastAsia"/>
        </w:rPr>
        <w:t xml:space="preserve"> 浓度控制范围：0~20%；湿度控制能保持95% rh 37℃。</w:t>
      </w:r>
    </w:p>
    <w:p w14:paraId="7EB9D831">
      <w:pPr>
        <w:ind w:firstLine="0" w:firstLineChars="0"/>
      </w:pPr>
      <w:r>
        <w:rPr>
          <w:rFonts w:hint="eastAsia"/>
        </w:rPr>
        <w:t>4.2、能够被自动化整合，并且协作式机器人手臂能自由取放微孔板。</w:t>
      </w:r>
    </w:p>
    <w:p w14:paraId="3AA7CAAF">
      <w:pPr>
        <w:ind w:firstLine="0" w:firstLineChars="0"/>
      </w:pPr>
      <w:r>
        <w:rPr>
          <w:rFonts w:hint="eastAsia"/>
        </w:rPr>
        <w:t>5、多功能检测模块</w:t>
      </w:r>
    </w:p>
    <w:p w14:paraId="52177137">
      <w:pPr>
        <w:ind w:firstLine="0" w:firstLineChars="0"/>
      </w:pPr>
      <w:r>
        <w:rPr>
          <w:rFonts w:hint="eastAsia"/>
        </w:rPr>
        <w:t>5.1、能进行吸光度、荧光强度和化学发光检测。适用1-1536孔板。</w:t>
      </w:r>
    </w:p>
    <w:p w14:paraId="685F3C6B">
      <w:pPr>
        <w:ind w:firstLine="0" w:firstLineChars="0"/>
      </w:pPr>
      <w:r>
        <w:rPr>
          <w:rFonts w:hint="eastAsia"/>
        </w:rPr>
        <w:t>5.2、具有≥4种振荡模式，可设定震荡速度及振荡时间。</w:t>
      </w:r>
    </w:p>
    <w:p w14:paraId="289DD53A">
      <w:pPr>
        <w:ind w:firstLine="0" w:firstLineChars="0"/>
      </w:pPr>
      <w:r>
        <w:rPr>
          <w:rFonts w:hint="eastAsia"/>
        </w:rPr>
        <w:t>5.3、吸光度检测波长：范围230-1000 nm，可选任意波长检测，步径精度1nm，带宽可调。</w:t>
      </w:r>
    </w:p>
    <w:p w14:paraId="4A09CB51">
      <w:pPr>
        <w:ind w:firstLine="0" w:firstLineChars="0"/>
      </w:pPr>
      <w:bookmarkStart w:id="1" w:name="_GoBack"/>
      <w:bookmarkEnd w:id="1"/>
      <w:r>
        <w:rPr>
          <w:rFonts w:hint="eastAsia"/>
        </w:rPr>
        <w:t>5.4、滤光片载位数量≥30，滤光片可通过软件自由切换选择。</w:t>
      </w:r>
    </w:p>
    <w:p w14:paraId="74C9B392">
      <w:pPr>
        <w:ind w:firstLine="0" w:firstLineChars="0"/>
      </w:pPr>
      <w:r>
        <w:rPr>
          <w:rFonts w:hint="eastAsia"/>
        </w:rPr>
        <w:t>5.4、除光吸收外，其它检测均支持顶读和底读模式。</w:t>
      </w:r>
    </w:p>
    <w:p w14:paraId="78FADD60">
      <w:pPr>
        <w:ind w:firstLine="0" w:firstLineChars="0"/>
      </w:pPr>
      <w:r>
        <w:rPr>
          <w:rFonts w:hint="eastAsia"/>
        </w:rPr>
        <w:t>6、自动化液体处理工作站</w:t>
      </w:r>
    </w:p>
    <w:p w14:paraId="4B0B9719">
      <w:pPr>
        <w:ind w:firstLine="0" w:firstLineChars="0"/>
      </w:pPr>
      <w:r>
        <w:rPr>
          <w:rFonts w:hint="eastAsia"/>
        </w:rPr>
        <w:t>6.1、板位数：≥20板位。</w:t>
      </w:r>
    </w:p>
    <w:p w14:paraId="16B0713A">
      <w:pPr>
        <w:ind w:firstLine="0" w:firstLineChars="0"/>
      </w:pPr>
      <w:r>
        <w:rPr>
          <w:rFonts w:hint="eastAsia"/>
        </w:rPr>
        <w:t xml:space="preserve">6.2、移液模块：可同时挂载≥6道移液模块和≥2通道可变间距的移液模组。 </w:t>
      </w:r>
    </w:p>
    <w:p w14:paraId="09F47B11">
      <w:pPr>
        <w:ind w:firstLine="0" w:firstLineChars="0"/>
      </w:pPr>
      <w:r>
        <w:rPr>
          <w:rFonts w:hint="eastAsia"/>
        </w:rPr>
        <w:t xml:space="preserve">6.3移液范围：1-1000 µL，要求无需更换移液模块，只需匹配不同枪头即可实现不同体积移液; 移液精确度： </w:t>
      </w:r>
      <w:bookmarkStart w:id="0" w:name="OLE_LINK1"/>
      <w:r>
        <w:rPr>
          <w:rFonts w:hint="eastAsia"/>
          <w:sz w:val="24"/>
        </w:rPr>
        <w:t>≤</w:t>
      </w:r>
      <w:bookmarkEnd w:id="0"/>
      <w:r>
        <w:rPr>
          <w:rFonts w:hint="eastAsia"/>
        </w:rPr>
        <w:t xml:space="preserve">4% 5μ L； </w:t>
      </w:r>
      <w:r>
        <w:rPr>
          <w:rFonts w:hint="eastAsia"/>
          <w:sz w:val="24"/>
        </w:rPr>
        <w:t>≤</w:t>
      </w:r>
      <w:r>
        <w:rPr>
          <w:rFonts w:hint="eastAsia"/>
        </w:rPr>
        <w:t>1% 200μ L;</w:t>
      </w:r>
    </w:p>
    <w:p w14:paraId="0321E91C">
      <w:pPr>
        <w:ind w:firstLine="0" w:firstLineChars="0"/>
      </w:pPr>
      <w:r>
        <w:rPr>
          <w:rFonts w:hint="eastAsia"/>
        </w:rPr>
        <w:t>6.4、具有液面探测功能、支持多种方式的移液、具有震荡、温控和倾斜模块功能。</w:t>
      </w:r>
    </w:p>
    <w:p w14:paraId="46F897E9">
      <w:pPr>
        <w:ind w:firstLine="0" w:firstLineChars="0"/>
      </w:pPr>
      <w:r>
        <w:rPr>
          <w:rFonts w:hint="eastAsia"/>
        </w:rPr>
        <w:t>7、3D 分析模块：配置一体化的3D功能，从样品制备-智能化成像-3D数据可视化-3D数据分析，无需其他插件，可完成从拍照到分析功能。</w:t>
      </w:r>
    </w:p>
    <w:p w14:paraId="49E89D17">
      <w:pPr>
        <w:ind w:firstLine="0" w:firstLineChars="0"/>
      </w:pPr>
      <w:r>
        <w:rPr>
          <w:rFonts w:hint="eastAsia"/>
        </w:rPr>
        <w:t>8、配置3D可视化功能，提供3D 最大投影模式正交视图，多种3D 重建渲染视图，外框交互模式任意角度层切视图、平面映射多层细胞定位视图。可计算细胞体积、3D表面积、3D 最大截面积、3D 球形程度、3D投影面积、3D球形内径、3D球厚度及高度等参数。</w:t>
      </w:r>
    </w:p>
    <w:p w14:paraId="7BDF44DB">
      <w:pPr>
        <w:ind w:firstLine="0" w:firstLineChars="0"/>
      </w:pPr>
      <w:r>
        <w:rPr>
          <w:rFonts w:hint="eastAsia"/>
        </w:rPr>
        <w:t>9、预设应用分析解决方案；预设分析方案数据形式：可针对每孔数据导出整板统计学数据，细胞实验可导出每一单细胞数据，能获取细胞异质性信息。</w:t>
      </w:r>
    </w:p>
    <w:p w14:paraId="3F618D08">
      <w:pPr>
        <w:ind w:firstLine="0" w:firstLineChars="0"/>
      </w:pPr>
      <w:r>
        <w:rPr>
          <w:rFonts w:hint="eastAsia"/>
        </w:rPr>
        <w:t>10、图形工作站：处理器不低于双六核处理器，内存不低于 64 GB，硬盘不低于2 TB，64 bit Windows10 操作系统，34寸显示器。</w:t>
      </w:r>
    </w:p>
    <w:p w14:paraId="08387AA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AAF"/>
    <w:rsid w:val="001A2B71"/>
    <w:rsid w:val="00662AF1"/>
    <w:rsid w:val="00815299"/>
    <w:rsid w:val="00945320"/>
    <w:rsid w:val="009E04FD"/>
    <w:rsid w:val="00C141A9"/>
    <w:rsid w:val="00C42AAF"/>
    <w:rsid w:val="00CF37DE"/>
    <w:rsid w:val="00E41D35"/>
    <w:rsid w:val="00E975DD"/>
    <w:rsid w:val="031C1702"/>
    <w:rsid w:val="306F0895"/>
    <w:rsid w:val="3CDA4805"/>
    <w:rsid w:val="4878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N w:val="0"/>
      <w:snapToGrid w:val="0"/>
      <w:spacing w:before="156" w:beforeLines="5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link w:val="7"/>
    <w:qFormat/>
    <w:uiPriority w:val="9"/>
    <w:pPr>
      <w:keepNext/>
      <w:keepLines/>
      <w:outlineLvl w:val="0"/>
    </w:pPr>
    <w:rPr>
      <w:rFonts w:ascii="Times New Roman" w:hAnsi="Times New Roman" w:eastAsia="方正小标宋_GBK" w:cstheme="minorBidi"/>
      <w:b/>
      <w:bCs/>
      <w:kern w:val="44"/>
      <w:sz w:val="44"/>
      <w:szCs w:val="4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</w:style>
  <w:style w:type="character" w:styleId="6">
    <w:name w:val="annotation reference"/>
    <w:basedOn w:val="5"/>
    <w:semiHidden/>
    <w:unhideWhenUsed/>
    <w:qFormat/>
    <w:uiPriority w:val="99"/>
    <w:rPr>
      <w:sz w:val="21"/>
      <w:szCs w:val="21"/>
    </w:rPr>
  </w:style>
  <w:style w:type="character" w:customStyle="1" w:styleId="7">
    <w:name w:val="标题 1 字符"/>
    <w:basedOn w:val="5"/>
    <w:link w:val="2"/>
    <w:qFormat/>
    <w:uiPriority w:val="9"/>
    <w:rPr>
      <w:rFonts w:ascii="Times New Roman" w:hAnsi="Times New Roman" w:eastAsia="方正小标宋_GBK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1316</Words>
  <Characters>1555</Characters>
  <Lines>11</Lines>
  <Paragraphs>3</Paragraphs>
  <TotalTime>12</TotalTime>
  <ScaleCrop>false</ScaleCrop>
  <LinksUpToDate>false</LinksUpToDate>
  <CharactersWithSpaces>1605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2025-11-13T10:03:00Z</dcterms:created>
  <dc:creator>Feng</dc:creator>
  <cp:lastModifiedBy>段池</cp:lastModifiedBy>
  <dcterms:modified xsi:type="dcterms:W3CDTF">2026-03-02T02:52:47Z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2ABC73315EEC4D93A7E6AB6731B21C48_12</vt:lpwstr>
  </property>
</Properties>
</file>