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F2E324">
      <w:pPr>
        <w:spacing w:line="276" w:lineRule="auto"/>
        <w:jc w:val="center"/>
        <w:rPr>
          <w:rFonts w:ascii="宋体" w:hAnsi="宋体" w:eastAsia="宋体" w:cs="方正小标宋简体"/>
          <w:b/>
          <w:bCs/>
          <w:sz w:val="32"/>
          <w:szCs w:val="32"/>
        </w:rPr>
      </w:pPr>
      <w:r>
        <w:rPr>
          <w:rFonts w:hint="eastAsia" w:ascii="宋体" w:hAnsi="宋体" w:eastAsia="宋体" w:cs="方正小标宋简体"/>
          <w:b/>
          <w:bCs/>
          <w:sz w:val="32"/>
          <w:szCs w:val="32"/>
        </w:rPr>
        <w:t>固体进样总有机碳分析仪采购项目</w:t>
      </w:r>
    </w:p>
    <w:p w14:paraId="1DBCA114">
      <w:pPr>
        <w:spacing w:line="276" w:lineRule="auto"/>
        <w:rPr>
          <w:rFonts w:ascii="宋体" w:hAnsi="宋体" w:eastAsia="宋体" w:cs="方正小标宋简体"/>
          <w:b/>
          <w:bCs/>
          <w:szCs w:val="21"/>
        </w:rPr>
      </w:pPr>
    </w:p>
    <w:p w14:paraId="4A2E3FBF">
      <w:pPr>
        <w:spacing w:line="276" w:lineRule="auto"/>
        <w:jc w:val="center"/>
        <w:rPr>
          <w:rFonts w:ascii="宋体" w:hAnsi="宋体" w:eastAsia="宋体" w:cs="方正小标宋简体"/>
          <w:b/>
          <w:bCs/>
          <w:sz w:val="36"/>
          <w:szCs w:val="36"/>
        </w:rPr>
      </w:pPr>
      <w:r>
        <w:rPr>
          <w:rFonts w:hint="eastAsia" w:ascii="宋体" w:hAnsi="宋体" w:eastAsia="宋体" w:cs="方正小标宋简体"/>
          <w:b/>
          <w:bCs/>
          <w:sz w:val="36"/>
          <w:szCs w:val="36"/>
        </w:rPr>
        <w:t>技术参数</w:t>
      </w:r>
    </w:p>
    <w:p w14:paraId="52E90B79">
      <w:pPr>
        <w:spacing w:line="276" w:lineRule="auto"/>
        <w:jc w:val="center"/>
        <w:rPr>
          <w:rFonts w:ascii="宋体" w:hAnsi="宋体" w:eastAsia="宋体"/>
          <w:sz w:val="24"/>
          <w:szCs w:val="24"/>
        </w:rPr>
      </w:pPr>
    </w:p>
    <w:p w14:paraId="489014AC">
      <w:pPr>
        <w:spacing w:line="276" w:lineRule="auto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1.总有机碳分析仪</w:t>
      </w:r>
    </w:p>
    <w:p w14:paraId="6D5F9267">
      <w:pPr>
        <w:spacing w:line="276" w:lineRule="auto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1.1 主机参数</w:t>
      </w:r>
    </w:p>
    <w:p w14:paraId="50548F19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color w:val="FF0000"/>
          <w:sz w:val="24"/>
          <w:szCs w:val="24"/>
        </w:rPr>
        <w:t>1.1.1</w:t>
      </w:r>
      <w:r>
        <w:rPr>
          <w:rFonts w:hint="eastAsia" w:ascii="宋体" w:hAnsi="宋体" w:eastAsia="宋体"/>
          <w:sz w:val="24"/>
          <w:szCs w:val="24"/>
        </w:rPr>
        <w:t xml:space="preserve"> 测定方法：≥600℃铂金催化燃烧NDIR（非色散红外检测）操作方式测定项目TC、IC、TOC（TC－IC）、NPOC、TN应用对象水样、固体。</w:t>
      </w:r>
    </w:p>
    <w:p w14:paraId="4C9D0602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1.1.2 测定范围（mg/L） TC：0－30000，IC ：0－35000。</w:t>
      </w:r>
    </w:p>
    <w:p w14:paraId="1A5F391A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1.1.3 检测限≤4μg/L（TC），≤4μg/L（IC）。</w:t>
      </w:r>
    </w:p>
    <w:p w14:paraId="13AA51A7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1.1.4 测定精度CV≤1.5%（重复精度）。</w:t>
      </w:r>
    </w:p>
    <w:p w14:paraId="7EBED3FF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1.1.5 测定时间TC：≤</w:t>
      </w:r>
      <w:r>
        <w:rPr>
          <w:rFonts w:ascii="宋体" w:hAnsi="宋体" w:eastAsia="宋体"/>
          <w:sz w:val="24"/>
          <w:szCs w:val="24"/>
        </w:rPr>
        <w:t>5</w:t>
      </w:r>
      <w:r>
        <w:rPr>
          <w:rFonts w:hint="eastAsia" w:ascii="宋体" w:hAnsi="宋体" w:eastAsia="宋体"/>
          <w:sz w:val="24"/>
          <w:szCs w:val="24"/>
        </w:rPr>
        <w:t>分钟，IC：≤5 分钟。</w:t>
      </w:r>
    </w:p>
    <w:p w14:paraId="677B7B7E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1.1.6 进样方式：采用八通阀分别进行取样、进样、加酸和流路清洗，含有40ML多位自动进样器。</w:t>
      </w:r>
    </w:p>
    <w:p w14:paraId="311EE794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1.1.7 可变进样量10－2000μL。</w:t>
      </w:r>
    </w:p>
    <w:p w14:paraId="0FEEAB28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1.1.8 主机配备IC预去除功能，主机内部能够完成自动添加酸并吹扫进行IC去除。</w:t>
      </w:r>
    </w:p>
    <w:p w14:paraId="65795CBE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1.1.9 主机配备自动稀释至少2－50倍，在注射器内完成稀释</w:t>
      </w:r>
    </w:p>
    <w:p w14:paraId="17B1D91C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1.1.10 空白零水制备功能：主机内置制造超纯水功能，自动进行空白确认</w:t>
      </w:r>
    </w:p>
    <w:p w14:paraId="5608EE18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1.1.11 载气：高纯空气、或高纯氧气，载气气压≥200±10 kPa（可使用载气调压器：约300- 600 kPa）载气流量≥100-200 mL/min，载气消耗量约≤1000-2000 L/月</w:t>
      </w:r>
    </w:p>
    <w:p w14:paraId="10E51369">
      <w:pPr>
        <w:spacing w:line="276" w:lineRule="auto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1.2软件功能</w:t>
      </w:r>
    </w:p>
    <w:p w14:paraId="41F59746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1.2.1 自动设定最佳测定条件：做标准曲线时，软件须根据浓度范围推荐适当进样体积。做未知样时，软件须根据所选标准曲线推荐适当进样体积。</w:t>
      </w:r>
    </w:p>
    <w:p w14:paraId="7842BD74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1.2.2 自动选择最佳标准曲线：对一个样品测定，须选择最少三条标准曲线，软件须根据结果，自动选择最佳标准曲线。</w:t>
      </w:r>
    </w:p>
    <w:p w14:paraId="41E0DA82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1.2.3 未知样稀释倍数与进样体积自动调节：对于超过标准曲线量程范围的未知样，软件须自动变更测定条件并进行再次测定，须该样品测定浓度在所选标准曲线浓度范围之内。</w:t>
      </w:r>
    </w:p>
    <w:p w14:paraId="4DAFF822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1.2.4自动排除样品重复测定中的异常值并追加测定：对于同一样品重复测定中的异常值，软件能自动排除。当初设的测定次数完成后，测定结果的重复性不能达到设定误差范围内时，软件会自动追加测定次数，直到满足误差要求或者达到设定的最大重复次数为止。</w:t>
      </w:r>
    </w:p>
    <w:p w14:paraId="10E3184D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1.2.5具备多种目的的校正系统：测定完成后，如果需要选择其他标准曲线时，也无需重新测定样品，软件中直接选择其他标准曲线，即可对结果重新计算。</w:t>
      </w:r>
    </w:p>
    <w:p w14:paraId="23E5E37A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1.2.6 内置符合各国药典测定制药用水规定的实验条件：USP（美国药典）、EP（欧洲药典）、ChP（中国药典）。</w:t>
      </w:r>
    </w:p>
    <w:p w14:paraId="2BC979F8">
      <w:pPr>
        <w:spacing w:line="276" w:lineRule="auto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2</w:t>
      </w:r>
      <w:r>
        <w:rPr>
          <w:rFonts w:ascii="宋体" w:hAnsi="宋体" w:eastAsia="宋体"/>
          <w:b/>
          <w:bCs/>
          <w:sz w:val="24"/>
          <w:szCs w:val="24"/>
        </w:rPr>
        <w:t>. 八通道阀进样器</w:t>
      </w:r>
    </w:p>
    <w:p w14:paraId="6B58EED1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2</w:t>
      </w:r>
      <w:r>
        <w:rPr>
          <w:rFonts w:ascii="宋体" w:hAnsi="宋体" w:eastAsia="宋体"/>
          <w:sz w:val="24"/>
          <w:szCs w:val="24"/>
        </w:rPr>
        <w:t>.1可使用八通阀对样品瓶直接进样，具备自动稀释，进样，加酸，自动清洗流路和样品自动稀释和空白检测</w:t>
      </w:r>
    </w:p>
    <w:p w14:paraId="4DCEABF4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color w:val="FF0000"/>
          <w:sz w:val="24"/>
          <w:szCs w:val="24"/>
        </w:rPr>
        <w:t>2</w:t>
      </w:r>
      <w:r>
        <w:rPr>
          <w:rFonts w:ascii="宋体" w:hAnsi="宋体" w:eastAsia="宋体"/>
          <w:color w:val="FF0000"/>
          <w:sz w:val="24"/>
          <w:szCs w:val="24"/>
        </w:rPr>
        <w:t>.2</w:t>
      </w:r>
      <w:r>
        <w:rPr>
          <w:rFonts w:ascii="宋体" w:hAnsi="宋体" w:eastAsia="宋体"/>
          <w:sz w:val="24"/>
          <w:szCs w:val="24"/>
        </w:rPr>
        <w:t xml:space="preserve"> 自动液体进样器，具备40ml样品容量，位数≥60位样品瓶位</w:t>
      </w:r>
    </w:p>
    <w:p w14:paraId="0CA79C5D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b/>
          <w:bCs/>
          <w:color w:val="FF0000"/>
          <w:sz w:val="24"/>
          <w:szCs w:val="24"/>
        </w:rPr>
        <w:t>3</w:t>
      </w:r>
      <w:r>
        <w:rPr>
          <w:rFonts w:ascii="宋体" w:hAnsi="宋体" w:eastAsia="宋体"/>
          <w:b/>
          <w:bCs/>
          <w:color w:val="FF0000"/>
          <w:sz w:val="24"/>
          <w:szCs w:val="24"/>
        </w:rPr>
        <w:t>.</w:t>
      </w:r>
      <w:r>
        <w:rPr>
          <w:rFonts w:ascii="宋体" w:hAnsi="宋体" w:eastAsia="宋体"/>
          <w:b/>
          <w:bCs/>
          <w:sz w:val="24"/>
          <w:szCs w:val="24"/>
        </w:rPr>
        <w:t xml:space="preserve"> 固体进样装置</w:t>
      </w:r>
      <w:r>
        <w:rPr>
          <w:rFonts w:hint="eastAsia" w:ascii="宋体" w:hAnsi="宋体" w:eastAsia="宋体"/>
          <w:sz w:val="24"/>
          <w:szCs w:val="24"/>
        </w:rPr>
        <w:t xml:space="preserve"> </w:t>
      </w:r>
      <w:r>
        <w:rPr>
          <w:rFonts w:ascii="宋体" w:hAnsi="宋体" w:eastAsia="宋体"/>
          <w:sz w:val="24"/>
          <w:szCs w:val="24"/>
        </w:rPr>
        <w:t xml:space="preserve"> 测量项目：TC，IC，TOC (TC-IC)</w:t>
      </w:r>
    </w:p>
    <w:p w14:paraId="152664C5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3</w:t>
      </w:r>
      <w:r>
        <w:rPr>
          <w:rFonts w:ascii="宋体" w:hAnsi="宋体" w:eastAsia="宋体"/>
          <w:sz w:val="24"/>
          <w:szCs w:val="24"/>
        </w:rPr>
        <w:t>.1 TC 氧化方法燃烧氧化（TC电炉温：900℃-980℃）</w:t>
      </w:r>
    </w:p>
    <w:p w14:paraId="7CF489E4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3</w:t>
      </w:r>
      <w:r>
        <w:rPr>
          <w:rFonts w:ascii="宋体" w:hAnsi="宋体" w:eastAsia="宋体"/>
          <w:sz w:val="24"/>
          <w:szCs w:val="24"/>
        </w:rPr>
        <w:t>.2 IC 反应方法酸化（IC炉温：</w:t>
      </w:r>
      <w:r>
        <w:rPr>
          <w:rFonts w:hint="eastAsia" w:ascii="宋体" w:hAnsi="宋体" w:eastAsia="宋体"/>
          <w:sz w:val="24"/>
          <w:szCs w:val="24"/>
        </w:rPr>
        <w:t>1</w:t>
      </w:r>
      <w:r>
        <w:rPr>
          <w:rFonts w:ascii="宋体" w:hAnsi="宋体" w:eastAsia="宋体"/>
          <w:sz w:val="24"/>
          <w:szCs w:val="24"/>
        </w:rPr>
        <w:t>50℃-300℃）</w:t>
      </w:r>
    </w:p>
    <w:p w14:paraId="4C5AF619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3</w:t>
      </w:r>
      <w:r>
        <w:rPr>
          <w:rFonts w:ascii="宋体" w:hAnsi="宋体" w:eastAsia="宋体"/>
          <w:sz w:val="24"/>
          <w:szCs w:val="24"/>
        </w:rPr>
        <w:t>.3测量范围TC：0.1-30mgC；IC 0.1-20mgC</w:t>
      </w:r>
    </w:p>
    <w:p w14:paraId="58A00A1A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3</w:t>
      </w:r>
      <w:r>
        <w:rPr>
          <w:rFonts w:ascii="宋体" w:hAnsi="宋体" w:eastAsia="宋体"/>
          <w:sz w:val="24"/>
          <w:szCs w:val="24"/>
        </w:rPr>
        <w:t>.4 样品重量≥1g，TC测量和IC测量的水含量分别为≥0.4g 和≥0.2g，重复精度标准偏差范围值≤±1%，测量时间一般≤5-6分钟，载气氧气≥99.9%），</w:t>
      </w:r>
      <w:bookmarkStart w:id="0" w:name="_GoBack"/>
      <w:r>
        <w:rPr>
          <w:rFonts w:ascii="宋体" w:hAnsi="宋体" w:eastAsia="宋体"/>
          <w:sz w:val="24"/>
          <w:szCs w:val="24"/>
        </w:rPr>
        <w:t>≥500mL/min</w:t>
      </w:r>
    </w:p>
    <w:bookmarkEnd w:id="0"/>
    <w:p w14:paraId="0EB06C4D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4</w:t>
      </w:r>
      <w:r>
        <w:rPr>
          <w:rFonts w:ascii="宋体" w:hAnsi="宋体" w:eastAsia="宋体"/>
          <w:b/>
          <w:bCs/>
          <w:sz w:val="24"/>
          <w:szCs w:val="24"/>
        </w:rPr>
        <w:t>. 总氮单元</w:t>
      </w:r>
      <w:r>
        <w:rPr>
          <w:rFonts w:hint="eastAsia" w:ascii="宋体" w:hAnsi="宋体" w:eastAsia="宋体"/>
          <w:sz w:val="24"/>
          <w:szCs w:val="24"/>
        </w:rPr>
        <w:t xml:space="preserve"> </w:t>
      </w:r>
      <w:r>
        <w:rPr>
          <w:rFonts w:ascii="宋体" w:hAnsi="宋体" w:eastAsia="宋体"/>
          <w:sz w:val="24"/>
          <w:szCs w:val="24"/>
        </w:rPr>
        <w:t xml:space="preserve"> 分析类型TN（总氮）</w:t>
      </w:r>
    </w:p>
    <w:p w14:paraId="21378C2F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4</w:t>
      </w:r>
      <w:r>
        <w:rPr>
          <w:rFonts w:ascii="宋体" w:hAnsi="宋体" w:eastAsia="宋体"/>
          <w:sz w:val="24"/>
          <w:szCs w:val="24"/>
        </w:rPr>
        <w:t>.1测定原理热分解/NO检测（化学发光法），测定范围0 - 10000 mg/L</w:t>
      </w:r>
    </w:p>
    <w:p w14:paraId="6B09A21E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4</w:t>
      </w:r>
      <w:r>
        <w:rPr>
          <w:rFonts w:ascii="宋体" w:hAnsi="宋体" w:eastAsia="宋体"/>
          <w:sz w:val="24"/>
          <w:szCs w:val="24"/>
        </w:rPr>
        <w:t>.2检出限≤5μg/L（CPH CSH），≤20μg/L（CPN CSN）测定时间≤4 分钟</w:t>
      </w:r>
    </w:p>
    <w:p w14:paraId="6B9D37D5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4</w:t>
      </w:r>
      <w:r>
        <w:rPr>
          <w:rFonts w:ascii="宋体" w:hAnsi="宋体" w:eastAsia="宋体"/>
          <w:sz w:val="24"/>
          <w:szCs w:val="24"/>
        </w:rPr>
        <w:t xml:space="preserve">.3总氮重现性RSD≤ 3% </w:t>
      </w:r>
    </w:p>
    <w:p w14:paraId="09C867D5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5.电脑</w:t>
      </w:r>
    </w:p>
    <w:p w14:paraId="2197843F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处理器核心数量≥5核心，线程≥24，主频≥5.0GHz；固态硬盘≥1T；内存≥8G；显示器≥24寸</w:t>
      </w:r>
    </w:p>
    <w:p w14:paraId="6E01D514">
      <w:pPr>
        <w:spacing w:line="276" w:lineRule="auto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sz w:val="24"/>
          <w:szCs w:val="24"/>
        </w:rPr>
        <w:t>6.黑白激光打印</w:t>
      </w:r>
    </w:p>
    <w:p w14:paraId="5C128524">
      <w:pPr>
        <w:spacing w:line="276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A4黑白激光打印机，鼓粉一体，CPU:600MHZ，内存256MB,分辨率1200*1200dpi</w:t>
      </w:r>
    </w:p>
    <w:p w14:paraId="27AAEA22">
      <w:pPr>
        <w:spacing w:line="276" w:lineRule="auto"/>
        <w:rPr>
          <w:rFonts w:ascii="宋体" w:hAnsi="宋体" w:eastAsia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B3A"/>
    <w:rsid w:val="000451EF"/>
    <w:rsid w:val="00050A99"/>
    <w:rsid w:val="001618BB"/>
    <w:rsid w:val="001F4BCA"/>
    <w:rsid w:val="003343A1"/>
    <w:rsid w:val="003839A8"/>
    <w:rsid w:val="00437B3A"/>
    <w:rsid w:val="00481449"/>
    <w:rsid w:val="008258E0"/>
    <w:rsid w:val="00927BA8"/>
    <w:rsid w:val="009F575C"/>
    <w:rsid w:val="00DA3378"/>
    <w:rsid w:val="00E023EE"/>
    <w:rsid w:val="00FB0F17"/>
    <w:rsid w:val="00FE3C6B"/>
    <w:rsid w:val="148C6882"/>
    <w:rsid w:val="58CD4513"/>
    <w:rsid w:val="75F3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3"/>
    <w:semiHidden/>
    <w:unhideWhenUsed/>
    <w:qFormat/>
    <w:uiPriority w:val="99"/>
    <w:rPr>
      <w:b/>
      <w:bCs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0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sz w:val="18"/>
      <w:szCs w:val="18"/>
    </w:rPr>
  </w:style>
  <w:style w:type="character" w:customStyle="1" w:styleId="12">
    <w:name w:val="批注文字 字符"/>
    <w:basedOn w:val="8"/>
    <w:link w:val="2"/>
    <w:semiHidden/>
    <w:qFormat/>
    <w:uiPriority w:val="99"/>
  </w:style>
  <w:style w:type="character" w:customStyle="1" w:styleId="13">
    <w:name w:val="批注主题 字符"/>
    <w:basedOn w:val="12"/>
    <w:link w:val="6"/>
    <w:semiHidden/>
    <w:qFormat/>
    <w:uiPriority w:val="99"/>
    <w:rPr>
      <w:b/>
      <w:bCs/>
    </w:rPr>
  </w:style>
  <w:style w:type="character" w:customStyle="1" w:styleId="14">
    <w:name w:val="批注框文本 字符"/>
    <w:basedOn w:val="8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1161</Words>
  <Characters>1487</Characters>
  <Lines>11</Lines>
  <Paragraphs>3</Paragraphs>
  <TotalTime>9</TotalTime>
  <ScaleCrop>false</ScaleCrop>
  <LinksUpToDate>false</LinksUpToDate>
  <CharactersWithSpaces>1535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2026-05-29T09:09:00Z</dcterms:created>
  <dc:creator>Jiang hao</dc:creator>
  <cp:lastModifiedBy>张帅磊</cp:lastModifiedBy>
  <dcterms:modified xsi:type="dcterms:W3CDTF">2026-06-01T06:55:19Z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59C6B4E3E8F34B599E30A3F804C4F9B0_12</vt:lpwstr>
  </property>
</Properties>
</file>