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E9805E5">
      <w:pPr>
        <w:spacing w:after="312" w:afterLines="100" w:line="440" w:lineRule="exact"/>
        <w:jc w:val="center"/>
        <w:rPr>
          <w:rFonts w:ascii="Times New Roman" w:hAnsi="Times New Roman" w:eastAsia="宋体" w:cs="Times New Roman"/>
          <w:b/>
          <w:bCs/>
          <w:sz w:val="30"/>
          <w:szCs w:val="30"/>
        </w:rPr>
      </w:pPr>
      <w:r>
        <w:rPr>
          <w:rFonts w:hint="eastAsia" w:ascii="Times New Roman" w:hAnsi="Times New Roman" w:eastAsia="宋体" w:cs="Times New Roman"/>
          <w:b/>
          <w:bCs/>
          <w:sz w:val="30"/>
          <w:szCs w:val="30"/>
        </w:rPr>
        <w:t>荧光标记互作系统采购项目商务要求</w:t>
      </w:r>
    </w:p>
    <w:p w14:paraId="0CD6D05C">
      <w:pPr>
        <w:numPr>
          <w:ilvl w:val="0"/>
          <w:numId w:val="1"/>
        </w:numPr>
        <w:spacing w:line="360" w:lineRule="auto"/>
        <w:ind w:firstLine="482" w:firstLineChars="200"/>
        <w:jc w:val="left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b/>
          <w:bCs/>
          <w:sz w:val="24"/>
        </w:rPr>
        <w:t>供货周期</w:t>
      </w:r>
      <w:r>
        <w:rPr>
          <w:rFonts w:hint="eastAsia" w:ascii="仿宋" w:hAnsi="仿宋" w:eastAsia="仿宋" w:cs="仿宋"/>
          <w:sz w:val="24"/>
        </w:rPr>
        <w:t>：合同签订后</w:t>
      </w:r>
      <w:r>
        <w:rPr>
          <w:rFonts w:ascii="仿宋" w:hAnsi="仿宋" w:eastAsia="仿宋" w:cs="仿宋"/>
          <w:sz w:val="24"/>
        </w:rPr>
        <w:t>6</w:t>
      </w:r>
      <w:r>
        <w:rPr>
          <w:rFonts w:hint="eastAsia" w:ascii="仿宋" w:hAnsi="仿宋" w:eastAsia="仿宋" w:cs="仿宋"/>
          <w:sz w:val="24"/>
        </w:rPr>
        <w:t>0天内</w:t>
      </w:r>
    </w:p>
    <w:p w14:paraId="2804113F">
      <w:pPr>
        <w:numPr>
          <w:ilvl w:val="0"/>
          <w:numId w:val="1"/>
        </w:numPr>
        <w:spacing w:line="360" w:lineRule="auto"/>
        <w:ind w:firstLine="482" w:firstLineChars="200"/>
        <w:jc w:val="left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b/>
          <w:bCs/>
          <w:sz w:val="24"/>
        </w:rPr>
        <w:t>供货地点</w:t>
      </w:r>
      <w:r>
        <w:rPr>
          <w:rFonts w:hint="eastAsia" w:ascii="仿宋" w:hAnsi="仿宋" w:eastAsia="仿宋" w:cs="仿宋"/>
          <w:sz w:val="24"/>
        </w:rPr>
        <w:t>：中南大学</w:t>
      </w:r>
    </w:p>
    <w:p w14:paraId="3F165DBA">
      <w:pPr>
        <w:spacing w:line="360" w:lineRule="auto"/>
        <w:ind w:firstLine="480" w:firstLineChars="200"/>
        <w:jc w:val="left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3、</w:t>
      </w:r>
      <w:r>
        <w:rPr>
          <w:rFonts w:hint="eastAsia" w:ascii="仿宋" w:hAnsi="仿宋" w:eastAsia="仿宋" w:cs="仿宋"/>
          <w:b/>
          <w:bCs/>
          <w:sz w:val="24"/>
        </w:rPr>
        <w:t>质保期：</w:t>
      </w:r>
    </w:p>
    <w:p w14:paraId="5816791E">
      <w:pPr>
        <w:spacing w:line="360" w:lineRule="auto"/>
        <w:ind w:firstLine="480" w:firstLineChars="200"/>
        <w:jc w:val="left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3.1、质保期为</w:t>
      </w:r>
      <w:r>
        <w:rPr>
          <w:rFonts w:ascii="仿宋" w:hAnsi="仿宋" w:eastAsia="仿宋" w:cs="仿宋"/>
          <w:sz w:val="24"/>
        </w:rPr>
        <w:t>1</w:t>
      </w:r>
      <w:r>
        <w:rPr>
          <w:rFonts w:hint="eastAsia" w:ascii="仿宋" w:hAnsi="仿宋" w:eastAsia="仿宋" w:cs="仿宋"/>
          <w:sz w:val="24"/>
        </w:rPr>
        <w:t>年，保修期自货物验收合格后，采购人及中标人双方代表在项目验收单上签字之日起计算。所有设备的包换和包修服务遵从国家三包规定，并提供终身跟踪服务；保修期自采购人及中标人双方代表在设备验收单上签字之日起计算。中标人承诺的质保期长于招标文件规定时，以中标人的投标文件为准。</w:t>
      </w:r>
    </w:p>
    <w:p w14:paraId="713157DA">
      <w:pPr>
        <w:spacing w:line="360" w:lineRule="auto"/>
        <w:ind w:firstLine="480" w:firstLineChars="200"/>
        <w:jc w:val="left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3.2、设备在质量保证期内中标人实行全免费保修、包换、包退服务；保修期内，若需要上门服务，由此产生的费用均由中标人自行承担。中标人应具有相应的售后服务能力，包括拥有相应的设备和人员。在保修期内，中标人应有可随时上门进行维修及检测的工程师。</w:t>
      </w:r>
    </w:p>
    <w:p w14:paraId="0D042BE0">
      <w:pPr>
        <w:spacing w:line="360" w:lineRule="auto"/>
        <w:ind w:firstLine="480" w:firstLineChars="200"/>
        <w:jc w:val="left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3.3、保修期内采购人所购设备各部件发生非人为故障，中标人应及时免费上门更换同种品牌规格型号的新部件，设备发生人为故障的，中标人应及时免费上门更换同种品牌规格型号的新部件，只收零配件成本，不加收其它任何费用。</w:t>
      </w:r>
    </w:p>
    <w:p w14:paraId="7413F694">
      <w:pPr>
        <w:spacing w:line="360" w:lineRule="auto"/>
        <w:ind w:firstLine="480" w:firstLineChars="200"/>
        <w:jc w:val="left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3.4、中标人7×24 小时免费提供技术支持，永久性免费提供电话技术指导和咨询服务。</w:t>
      </w:r>
    </w:p>
    <w:p w14:paraId="3CE79389">
      <w:pPr>
        <w:spacing w:line="360" w:lineRule="auto"/>
        <w:ind w:firstLine="480" w:firstLineChars="200"/>
        <w:jc w:val="left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4、</w:t>
      </w:r>
      <w:bookmarkStart w:id="0" w:name="_Hlk224753427"/>
      <w:r>
        <w:rPr>
          <w:rFonts w:hint="eastAsia" w:ascii="仿宋" w:hAnsi="仿宋" w:eastAsia="仿宋" w:cs="仿宋"/>
          <w:b/>
          <w:bCs/>
          <w:sz w:val="24"/>
        </w:rPr>
        <w:t>履约保证金</w:t>
      </w:r>
      <w:bookmarkEnd w:id="0"/>
      <w:r>
        <w:rPr>
          <w:rFonts w:hint="eastAsia" w:ascii="仿宋" w:hAnsi="仿宋" w:eastAsia="仿宋" w:cs="仿宋"/>
          <w:sz w:val="24"/>
        </w:rPr>
        <w:t>：5%</w:t>
      </w:r>
    </w:p>
    <w:p w14:paraId="1B13CDB5">
      <w:pPr>
        <w:spacing w:line="360" w:lineRule="auto"/>
        <w:ind w:firstLine="480" w:firstLineChars="200"/>
        <w:jc w:val="left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5、</w:t>
      </w:r>
      <w:r>
        <w:rPr>
          <w:rFonts w:hint="eastAsia" w:ascii="仿宋" w:hAnsi="仿宋" w:eastAsia="仿宋" w:cs="仿宋"/>
          <w:b/>
          <w:bCs/>
          <w:sz w:val="24"/>
        </w:rPr>
        <w:t>付款周期及比例</w:t>
      </w:r>
      <w:r>
        <w:rPr>
          <w:rFonts w:hint="eastAsia" w:ascii="仿宋" w:hAnsi="仿宋" w:eastAsia="仿宋" w:cs="仿宋"/>
          <w:sz w:val="24"/>
        </w:rPr>
        <w:t>：</w:t>
      </w:r>
    </w:p>
    <w:p w14:paraId="61C7518C">
      <w:pPr>
        <w:spacing w:line="360" w:lineRule="auto"/>
        <w:ind w:firstLine="480" w:firstLineChars="200"/>
        <w:jc w:val="left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5.1 付款人：中南大学</w:t>
      </w:r>
    </w:p>
    <w:p w14:paraId="1E5DA155">
      <w:pPr>
        <w:pStyle w:val="39"/>
        <w:spacing w:line="400" w:lineRule="exact"/>
        <w:ind w:firstLine="468" w:firstLineChars="200"/>
        <w:rPr>
          <w:rFonts w:hint="eastAsia" w:ascii="仿宋" w:hAnsi="仿宋" w:eastAsia="仿宋" w:cs="仿宋"/>
          <w:lang w:eastAsia="zh-CN"/>
        </w:rPr>
      </w:pPr>
      <w:r>
        <w:rPr>
          <w:rFonts w:hint="eastAsia" w:ascii="仿宋" w:hAnsi="仿宋" w:eastAsia="仿宋" w:cs="仿宋"/>
          <w:lang w:eastAsia="zh-CN"/>
        </w:rPr>
        <w:t>5.2 付款方式：</w:t>
      </w:r>
    </w:p>
    <w:p w14:paraId="07D71555">
      <w:pPr>
        <w:pStyle w:val="39"/>
        <w:spacing w:line="400" w:lineRule="exact"/>
        <w:ind w:firstLine="468" w:firstLineChars="200"/>
        <w:rPr>
          <w:rFonts w:hint="eastAsia" w:ascii="仿宋" w:hAnsi="仿宋" w:eastAsia="仿宋" w:cs="仿宋"/>
          <w:lang w:eastAsia="zh-CN"/>
        </w:rPr>
      </w:pPr>
      <w:r>
        <w:rPr>
          <w:rFonts w:hint="eastAsia" w:ascii="仿宋" w:hAnsi="仿宋" w:eastAsia="仿宋" w:cs="仿宋"/>
          <w:lang w:eastAsia="zh-CN"/>
        </w:rPr>
        <w:t>进口部分：</w:t>
      </w:r>
      <w:r>
        <w:rPr>
          <w:rFonts w:ascii="仿宋" w:hAnsi="仿宋" w:eastAsia="仿宋" w:cs="仿宋"/>
          <w:spacing w:val="0"/>
          <w:szCs w:val="24"/>
          <w:lang w:val="en-US" w:eastAsia="zh-CN"/>
        </w:rPr>
        <w:t>100%信用证（</w:t>
      </w:r>
      <w:r>
        <w:rPr>
          <w:rFonts w:ascii="仿宋" w:hAnsi="仿宋" w:eastAsia="仿宋" w:cs="仿宋"/>
          <w:szCs w:val="24"/>
        </w:rPr>
        <w:t>80%凭报关单支付，20%甲方组织验收合格后支付</w:t>
      </w:r>
      <w:r>
        <w:rPr>
          <w:rFonts w:hint="eastAsia" w:ascii="仿宋" w:hAnsi="仿宋" w:eastAsia="仿宋" w:cs="仿宋"/>
          <w:szCs w:val="24"/>
        </w:rPr>
        <w:t>）</w:t>
      </w:r>
      <w:r>
        <w:rPr>
          <w:rFonts w:ascii="仿宋" w:hAnsi="仿宋" w:eastAsia="仿宋" w:cs="仿宋"/>
          <w:spacing w:val="0"/>
          <w:szCs w:val="24"/>
          <w:lang w:val="en-US" w:eastAsia="zh-CN"/>
        </w:rPr>
        <w:t>）。</w:t>
      </w:r>
    </w:p>
    <w:p w14:paraId="36905BED">
      <w:pPr>
        <w:pStyle w:val="39"/>
        <w:spacing w:line="400" w:lineRule="exact"/>
        <w:ind w:firstLine="480" w:firstLineChars="200"/>
        <w:rPr>
          <w:lang w:val="en-US" w:eastAsia="zh-CN"/>
        </w:rPr>
      </w:pPr>
      <w:r>
        <w:rPr>
          <w:rFonts w:hint="eastAsia" w:ascii="仿宋" w:hAnsi="仿宋" w:eastAsia="仿宋" w:cs="仿宋"/>
          <w:spacing w:val="0"/>
          <w:szCs w:val="24"/>
          <w:lang w:val="en-US" w:eastAsia="zh-CN"/>
        </w:rPr>
        <w:t>国产部分：合同签订后7个工作日内，甲方支付合同金额30%作预付款；货到甲方指定地点并经验收合格后5个工作日内，乙方应向甲方账户缴纳合同金额5%作履约保证金后，甲方凭借乙方开具的增值税专用发票，向乙方支付70%货款。履约保证金在验收合格之日起1年后退回，履约保证金不计利息。</w:t>
      </w:r>
    </w:p>
    <w:p w14:paraId="5B23546F">
      <w:pPr>
        <w:spacing w:line="360" w:lineRule="auto"/>
        <w:ind w:firstLine="480" w:firstLineChars="200"/>
        <w:jc w:val="left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5.3 本项目为交钥匙工程，投标人的投标报价中包含完成本项目所需的费用，含运输、税费、安装调试、验收等一切费用。投标人应根据项目要求和现场情况，详细列明项目所需的设备及材料购置，以及产品运输保险保管、税费、项目安装调试通过验收、培训、质保期免费保修维护等所有人工、管理、财务等所有费用，如一旦中标，在项目实施中出现任何遗漏，均由中标人免费提供，采购人不再支付任何费用。</w:t>
      </w:r>
    </w:p>
    <w:p w14:paraId="756B0F25">
      <w:pPr>
        <w:spacing w:line="360" w:lineRule="auto"/>
        <w:ind w:firstLine="480" w:firstLineChars="200"/>
        <w:jc w:val="left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6、</w:t>
      </w:r>
      <w:r>
        <w:rPr>
          <w:rFonts w:hint="eastAsia" w:ascii="仿宋" w:hAnsi="仿宋" w:eastAsia="仿宋" w:cs="仿宋"/>
          <w:b/>
          <w:bCs/>
          <w:sz w:val="24"/>
        </w:rPr>
        <w:t>培训内容及要求</w:t>
      </w:r>
      <w:r>
        <w:rPr>
          <w:rFonts w:hint="eastAsia" w:ascii="仿宋" w:hAnsi="仿宋" w:eastAsia="仿宋" w:cs="仿宋"/>
          <w:sz w:val="24"/>
        </w:rPr>
        <w:t>：中标人负责按签订合同的具体时间将所有产品运送到最终目的地，且由专业技术人员负责所有产品的系统安装、调试、试运行，经最终验收合格后，交付采购人使用。</w:t>
      </w:r>
    </w:p>
    <w:p w14:paraId="27310311">
      <w:pPr>
        <w:spacing w:line="360" w:lineRule="auto"/>
        <w:ind w:firstLine="480" w:firstLineChars="200"/>
        <w:jc w:val="left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中标人且就设备的安装、调试、操作、维修、保养等对买方维修技术人员进行培训。设备安装调试完毕后，中标人对买方操作人员进行现场培训，直至买方的技术人员能独立操作，同时能完成一般常见故障的维修工作。</w:t>
      </w:r>
    </w:p>
    <w:p w14:paraId="27063DE1">
      <w:pPr>
        <w:rPr>
          <w:rFonts w:hint="eastAsia" w:eastAsia="仿宋"/>
          <w:lang w:eastAsia="zh-CN"/>
        </w:rPr>
      </w:pPr>
      <w:r>
        <w:rPr>
          <w:rFonts w:hint="eastAsia" w:ascii="仿宋" w:hAnsi="仿宋" w:eastAsia="仿宋" w:cs="仿宋"/>
          <w:sz w:val="24"/>
        </w:rPr>
        <w:t>7、</w:t>
      </w:r>
      <w:r>
        <w:rPr>
          <w:rFonts w:hint="eastAsia" w:ascii="仿宋" w:hAnsi="仿宋" w:eastAsia="仿宋" w:cs="仿宋"/>
          <w:b/>
          <w:bCs/>
          <w:sz w:val="24"/>
        </w:rPr>
        <w:t>售后服务内容及要求</w:t>
      </w:r>
      <w:r>
        <w:rPr>
          <w:rFonts w:hint="eastAsia" w:ascii="仿宋" w:hAnsi="仿宋" w:eastAsia="仿宋" w:cs="仿宋"/>
          <w:sz w:val="24"/>
        </w:rPr>
        <w:t>：质保期内出现任何质量问题（人为破坏或自然灾害等不可抗力除外），由中标人负责全免费（免全部工时费、材料费、管理费、财务费等等）更换或维修。质保期满后，中标人应及时优惠提供所需的备品备件</w:t>
      </w:r>
      <w:r>
        <w:rPr>
          <w:rFonts w:hint="eastAsia" w:ascii="仿宋" w:hAnsi="仿宋" w:eastAsia="仿宋" w:cs="仿宋"/>
          <w:sz w:val="24"/>
          <w:lang w:eastAsia="zh-CN"/>
        </w:rPr>
        <w:t>。</w:t>
      </w:r>
      <w:bookmarkStart w:id="1" w:name="_GoBack"/>
      <w:bookmarkEnd w:id="1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3FB1D1D"/>
    <w:multiLevelType w:val="singleLevel"/>
    <w:tmpl w:val="F3FB1D1D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nforcement="0"/>
  <w:defaultTabStop w:val="4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2143"/>
    <w:rsid w:val="000C3624"/>
    <w:rsid w:val="000E783C"/>
    <w:rsid w:val="00250002"/>
    <w:rsid w:val="00332380"/>
    <w:rsid w:val="0037167E"/>
    <w:rsid w:val="00405A48"/>
    <w:rsid w:val="00472851"/>
    <w:rsid w:val="005B2BED"/>
    <w:rsid w:val="005F3D24"/>
    <w:rsid w:val="006E3A8E"/>
    <w:rsid w:val="006E7F86"/>
    <w:rsid w:val="00762D87"/>
    <w:rsid w:val="007864D8"/>
    <w:rsid w:val="007B6A8E"/>
    <w:rsid w:val="00802143"/>
    <w:rsid w:val="008744B4"/>
    <w:rsid w:val="00883243"/>
    <w:rsid w:val="009C62B4"/>
    <w:rsid w:val="009E2739"/>
    <w:rsid w:val="00A42BEF"/>
    <w:rsid w:val="00A629BB"/>
    <w:rsid w:val="00B11FD6"/>
    <w:rsid w:val="00B775F0"/>
    <w:rsid w:val="00CA5B98"/>
    <w:rsid w:val="00E52DFF"/>
    <w:rsid w:val="00F20497"/>
    <w:rsid w:val="00FD7F9A"/>
    <w:rsid w:val="00FF528F"/>
    <w:rsid w:val="4FA26F09"/>
    <w:rsid w:val="725D6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  <w14:ligatures w14:val="standardContextual"/>
    </w:rPr>
  </w:style>
  <w:style w:type="paragraph" w:styleId="2">
    <w:name w:val="heading 1"/>
    <w:basedOn w:val="1"/>
    <w:next w:val="1"/>
    <w:link w:val="21"/>
    <w:qFormat/>
    <w:uiPriority w:val="9"/>
    <w:pPr>
      <w:keepNext/>
      <w:keepLines/>
      <w:spacing w:before="480" w:after="80"/>
      <w:outlineLvl w:val="0"/>
    </w:pPr>
    <w:rPr>
      <w:rFonts w:asciiTheme="majorHAnsi" w:hAnsiTheme="majorHAnsi" w:eastAsiaTheme="majorEastAsia" w:cstheme="majorBidi"/>
      <w:color w:val="104862" w:themeColor="accent1" w:themeShade="BF"/>
      <w:sz w:val="48"/>
      <w:szCs w:val="48"/>
    </w:rPr>
  </w:style>
  <w:style w:type="paragraph" w:styleId="3">
    <w:name w:val="heading 2"/>
    <w:basedOn w:val="1"/>
    <w:next w:val="1"/>
    <w:link w:val="22"/>
    <w:semiHidden/>
    <w:unhideWhenUsed/>
    <w:qFormat/>
    <w:uiPriority w:val="9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paragraph" w:styleId="4">
    <w:name w:val="heading 3"/>
    <w:basedOn w:val="1"/>
    <w:next w:val="1"/>
    <w:link w:val="23"/>
    <w:semiHidden/>
    <w:unhideWhenUsed/>
    <w:qFormat/>
    <w:uiPriority w:val="9"/>
    <w:pPr>
      <w:keepNext/>
      <w:keepLines/>
      <w:spacing w:before="160" w:after="80"/>
      <w:outlineLvl w:val="2"/>
    </w:pPr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paragraph" w:styleId="5">
    <w:name w:val="heading 4"/>
    <w:basedOn w:val="1"/>
    <w:next w:val="1"/>
    <w:link w:val="24"/>
    <w:semiHidden/>
    <w:unhideWhenUsed/>
    <w:qFormat/>
    <w:uiPriority w:val="9"/>
    <w:pPr>
      <w:keepNext/>
      <w:keepLines/>
      <w:spacing w:before="80" w:after="40"/>
      <w:outlineLvl w:val="3"/>
    </w:pPr>
    <w:rPr>
      <w:rFonts w:cstheme="majorBidi"/>
      <w:color w:val="104862" w:themeColor="accent1" w:themeShade="BF"/>
      <w:sz w:val="28"/>
      <w:szCs w:val="28"/>
    </w:rPr>
  </w:style>
  <w:style w:type="paragraph" w:styleId="6">
    <w:name w:val="heading 5"/>
    <w:basedOn w:val="1"/>
    <w:next w:val="1"/>
    <w:link w:val="25"/>
    <w:semiHidden/>
    <w:unhideWhenUsed/>
    <w:qFormat/>
    <w:uiPriority w:val="9"/>
    <w:pPr>
      <w:keepNext/>
      <w:keepLines/>
      <w:spacing w:before="80" w:after="40"/>
      <w:outlineLvl w:val="4"/>
    </w:pPr>
    <w:rPr>
      <w:rFonts w:cstheme="majorBidi"/>
      <w:color w:val="104862" w:themeColor="accent1" w:themeShade="BF"/>
      <w:sz w:val="24"/>
      <w:szCs w:val="24"/>
    </w:rPr>
  </w:style>
  <w:style w:type="paragraph" w:styleId="7">
    <w:name w:val="heading 6"/>
    <w:basedOn w:val="1"/>
    <w:next w:val="1"/>
    <w:link w:val="26"/>
    <w:semiHidden/>
    <w:unhideWhenUsed/>
    <w:qFormat/>
    <w:uiPriority w:val="9"/>
    <w:pPr>
      <w:keepNext/>
      <w:keepLines/>
      <w:spacing w:before="40"/>
      <w:outlineLvl w:val="5"/>
    </w:pPr>
    <w:rPr>
      <w:rFonts w:cstheme="majorBidi"/>
      <w:b/>
      <w:bCs/>
      <w:color w:val="104862" w:themeColor="accent1" w:themeShade="BF"/>
    </w:rPr>
  </w:style>
  <w:style w:type="paragraph" w:styleId="8">
    <w:name w:val="heading 7"/>
    <w:basedOn w:val="1"/>
    <w:next w:val="1"/>
    <w:link w:val="27"/>
    <w:semiHidden/>
    <w:unhideWhenUsed/>
    <w:qFormat/>
    <w:uiPriority w:val="9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9">
    <w:name w:val="heading 8"/>
    <w:basedOn w:val="1"/>
    <w:next w:val="1"/>
    <w:link w:val="28"/>
    <w:semiHidden/>
    <w:unhideWhenUsed/>
    <w:qFormat/>
    <w:uiPriority w:val="9"/>
    <w:pPr>
      <w:keepNext/>
      <w:keepLines/>
      <w:outlineLvl w:val="7"/>
    </w:pPr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0">
    <w:name w:val="heading 9"/>
    <w:basedOn w:val="1"/>
    <w:next w:val="1"/>
    <w:link w:val="29"/>
    <w:semiHidden/>
    <w:unhideWhenUsed/>
    <w:qFormat/>
    <w:uiPriority w:val="9"/>
    <w:pPr>
      <w:keepNext/>
      <w:keepLines/>
      <w:outlineLvl w:val="8"/>
    </w:pPr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default="1" w:styleId="19">
    <w:name w:val="Default Paragraph Font"/>
    <w:semiHidden/>
    <w:unhideWhenUsed/>
    <w:uiPriority w:val="1"/>
  </w:style>
  <w:style w:type="table" w:default="1" w:styleId="18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annotation text"/>
    <w:basedOn w:val="1"/>
    <w:link w:val="43"/>
    <w:semiHidden/>
    <w:unhideWhenUsed/>
    <w:uiPriority w:val="99"/>
    <w:pPr>
      <w:jc w:val="left"/>
    </w:pPr>
  </w:style>
  <w:style w:type="paragraph" w:styleId="12">
    <w:name w:val="Balloon Text"/>
    <w:basedOn w:val="1"/>
    <w:link w:val="45"/>
    <w:semiHidden/>
    <w:unhideWhenUsed/>
    <w:qFormat/>
    <w:uiPriority w:val="99"/>
    <w:rPr>
      <w:sz w:val="18"/>
      <w:szCs w:val="18"/>
    </w:rPr>
  </w:style>
  <w:style w:type="paragraph" w:styleId="13">
    <w:name w:val="footer"/>
    <w:basedOn w:val="1"/>
    <w:link w:val="42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4">
    <w:name w:val="header"/>
    <w:basedOn w:val="1"/>
    <w:link w:val="41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5">
    <w:name w:val="Subtitle"/>
    <w:basedOn w:val="1"/>
    <w:next w:val="1"/>
    <w:link w:val="31"/>
    <w:qFormat/>
    <w:uiPriority w:val="11"/>
    <w:pPr>
      <w:spacing w:after="160"/>
      <w:jc w:val="center"/>
    </w:pPr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6">
    <w:name w:val="Title"/>
    <w:basedOn w:val="1"/>
    <w:next w:val="1"/>
    <w:link w:val="30"/>
    <w:qFormat/>
    <w:uiPriority w:val="10"/>
    <w:pPr>
      <w:spacing w:after="80"/>
      <w:contextualSpacing/>
      <w:jc w:val="center"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17">
    <w:name w:val="annotation subject"/>
    <w:basedOn w:val="11"/>
    <w:next w:val="11"/>
    <w:link w:val="44"/>
    <w:semiHidden/>
    <w:unhideWhenUsed/>
    <w:qFormat/>
    <w:uiPriority w:val="99"/>
    <w:rPr>
      <w:b/>
      <w:bCs/>
    </w:rPr>
  </w:style>
  <w:style w:type="character" w:styleId="20">
    <w:name w:val="annotation reference"/>
    <w:basedOn w:val="19"/>
    <w:semiHidden/>
    <w:unhideWhenUsed/>
    <w:qFormat/>
    <w:uiPriority w:val="99"/>
    <w:rPr>
      <w:sz w:val="21"/>
      <w:szCs w:val="21"/>
    </w:rPr>
  </w:style>
  <w:style w:type="character" w:customStyle="1" w:styleId="21">
    <w:name w:val="标题 1 字符"/>
    <w:basedOn w:val="19"/>
    <w:link w:val="2"/>
    <w:uiPriority w:val="9"/>
    <w:rPr>
      <w:rFonts w:asciiTheme="majorHAnsi" w:hAnsiTheme="majorHAnsi" w:eastAsiaTheme="majorEastAsia" w:cstheme="majorBidi"/>
      <w:color w:val="104862" w:themeColor="accent1" w:themeShade="BF"/>
      <w:sz w:val="48"/>
      <w:szCs w:val="48"/>
    </w:rPr>
  </w:style>
  <w:style w:type="character" w:customStyle="1" w:styleId="22">
    <w:name w:val="标题 2 字符"/>
    <w:basedOn w:val="19"/>
    <w:link w:val="3"/>
    <w:semiHidden/>
    <w:uiPriority w:val="9"/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character" w:customStyle="1" w:styleId="23">
    <w:name w:val="标题 3 字符"/>
    <w:basedOn w:val="19"/>
    <w:link w:val="4"/>
    <w:semiHidden/>
    <w:uiPriority w:val="9"/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character" w:customStyle="1" w:styleId="24">
    <w:name w:val="标题 4 字符"/>
    <w:basedOn w:val="19"/>
    <w:link w:val="5"/>
    <w:semiHidden/>
    <w:uiPriority w:val="9"/>
    <w:rPr>
      <w:rFonts w:cstheme="majorBidi"/>
      <w:color w:val="104862" w:themeColor="accent1" w:themeShade="BF"/>
      <w:sz w:val="28"/>
      <w:szCs w:val="28"/>
    </w:rPr>
  </w:style>
  <w:style w:type="character" w:customStyle="1" w:styleId="25">
    <w:name w:val="标题 5 字符"/>
    <w:basedOn w:val="19"/>
    <w:link w:val="6"/>
    <w:semiHidden/>
    <w:qFormat/>
    <w:uiPriority w:val="9"/>
    <w:rPr>
      <w:rFonts w:cstheme="majorBidi"/>
      <w:color w:val="104862" w:themeColor="accent1" w:themeShade="BF"/>
      <w:sz w:val="24"/>
      <w:szCs w:val="24"/>
    </w:rPr>
  </w:style>
  <w:style w:type="character" w:customStyle="1" w:styleId="26">
    <w:name w:val="标题 6 字符"/>
    <w:basedOn w:val="19"/>
    <w:link w:val="7"/>
    <w:semiHidden/>
    <w:qFormat/>
    <w:uiPriority w:val="9"/>
    <w:rPr>
      <w:rFonts w:cstheme="majorBidi"/>
      <w:b/>
      <w:bCs/>
      <w:color w:val="104862" w:themeColor="accent1" w:themeShade="BF"/>
    </w:rPr>
  </w:style>
  <w:style w:type="character" w:customStyle="1" w:styleId="27">
    <w:name w:val="标题 7 字符"/>
    <w:basedOn w:val="19"/>
    <w:link w:val="8"/>
    <w:semiHidden/>
    <w:qFormat/>
    <w:uiPriority w:val="9"/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8">
    <w:name w:val="标题 8 字符"/>
    <w:basedOn w:val="19"/>
    <w:link w:val="9"/>
    <w:semiHidden/>
    <w:qFormat/>
    <w:uiPriority w:val="9"/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9">
    <w:name w:val="标题 9 字符"/>
    <w:basedOn w:val="19"/>
    <w:link w:val="10"/>
    <w:semiHidden/>
    <w:uiPriority w:val="9"/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30">
    <w:name w:val="标题 字符"/>
    <w:basedOn w:val="19"/>
    <w:link w:val="16"/>
    <w:qFormat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31">
    <w:name w:val="副标题 字符"/>
    <w:basedOn w:val="19"/>
    <w:link w:val="15"/>
    <w:qFormat/>
    <w:uiPriority w:val="11"/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32">
    <w:name w:val="Quote"/>
    <w:basedOn w:val="1"/>
    <w:next w:val="1"/>
    <w:link w:val="33"/>
    <w:qFormat/>
    <w:uiPriority w:val="29"/>
    <w:pPr>
      <w:spacing w:before="160" w:after="160"/>
      <w:jc w:val="center"/>
    </w:pPr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33">
    <w:name w:val="引用 字符"/>
    <w:basedOn w:val="19"/>
    <w:link w:val="32"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34">
    <w:name w:val="List Paragraph"/>
    <w:basedOn w:val="1"/>
    <w:qFormat/>
    <w:uiPriority w:val="34"/>
    <w:pPr>
      <w:ind w:left="720"/>
      <w:contextualSpacing/>
    </w:pPr>
  </w:style>
  <w:style w:type="character" w:customStyle="1" w:styleId="35">
    <w:name w:val="Intense Emphasis"/>
    <w:basedOn w:val="19"/>
    <w:qFormat/>
    <w:uiPriority w:val="21"/>
    <w:rPr>
      <w:i/>
      <w:iCs/>
      <w:color w:val="104862" w:themeColor="accent1" w:themeShade="BF"/>
    </w:rPr>
  </w:style>
  <w:style w:type="paragraph" w:styleId="36">
    <w:name w:val="Intense Quote"/>
    <w:basedOn w:val="1"/>
    <w:next w:val="1"/>
    <w:link w:val="37"/>
    <w:qFormat/>
    <w:uiPriority w:val="30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104862" w:themeColor="accent1" w:themeShade="BF"/>
    </w:rPr>
  </w:style>
  <w:style w:type="character" w:customStyle="1" w:styleId="37">
    <w:name w:val="明显引用 字符"/>
    <w:basedOn w:val="19"/>
    <w:link w:val="36"/>
    <w:qFormat/>
    <w:uiPriority w:val="30"/>
    <w:rPr>
      <w:i/>
      <w:iCs/>
      <w:color w:val="104862" w:themeColor="accent1" w:themeShade="BF"/>
    </w:rPr>
  </w:style>
  <w:style w:type="character" w:customStyle="1" w:styleId="38">
    <w:name w:val="Intense Reference"/>
    <w:basedOn w:val="19"/>
    <w:qFormat/>
    <w:uiPriority w:val="32"/>
    <w:rPr>
      <w:b/>
      <w:bCs/>
      <w:smallCaps/>
      <w:color w:val="104862" w:themeColor="accent1" w:themeShade="BF"/>
      <w:spacing w:val="5"/>
    </w:rPr>
  </w:style>
  <w:style w:type="paragraph" w:customStyle="1" w:styleId="39">
    <w:name w:val="Style1"/>
    <w:basedOn w:val="1"/>
    <w:qFormat/>
    <w:uiPriority w:val="0"/>
    <w:pPr>
      <w:widowControl/>
      <w:tabs>
        <w:tab w:val="left" w:pos="-720"/>
      </w:tabs>
      <w:spacing w:after="120"/>
    </w:pPr>
    <w:rPr>
      <w:rFonts w:ascii="Times New Roman" w:hAnsi="Times New Roman" w:eastAsia="宋体" w:cs="Times New Roman"/>
      <w:spacing w:val="-3"/>
      <w:kern w:val="0"/>
      <w:sz w:val="24"/>
      <w:szCs w:val="20"/>
      <w:lang w:val="en-AU" w:eastAsia="en-US"/>
    </w:rPr>
  </w:style>
  <w:style w:type="paragraph" w:customStyle="1" w:styleId="40">
    <w:name w:val="正文无缩进"/>
    <w:qFormat/>
    <w:uiPriority w:val="0"/>
    <w:pPr>
      <w:widowControl w:val="0"/>
      <w:snapToGrid w:val="0"/>
      <w:spacing w:before="120" w:line="300" w:lineRule="auto"/>
      <w:jc w:val="both"/>
    </w:pPr>
    <w:rPr>
      <w:rFonts w:ascii="Times New Roman" w:hAnsi="Times New Roman" w:eastAsia="宋体" w:cs="Times New Roman"/>
      <w:kern w:val="2"/>
      <w:sz w:val="24"/>
      <w:szCs w:val="20"/>
      <w:lang w:val="en-US" w:eastAsia="zh-CN" w:bidi="ar-SA"/>
      <w14:ligatures w14:val="standardContextual"/>
    </w:rPr>
  </w:style>
  <w:style w:type="character" w:customStyle="1" w:styleId="41">
    <w:name w:val="页眉 字符"/>
    <w:basedOn w:val="19"/>
    <w:link w:val="14"/>
    <w:uiPriority w:val="99"/>
    <w:rPr>
      <w:sz w:val="18"/>
      <w:szCs w:val="18"/>
    </w:rPr>
  </w:style>
  <w:style w:type="character" w:customStyle="1" w:styleId="42">
    <w:name w:val="页脚 字符"/>
    <w:basedOn w:val="19"/>
    <w:link w:val="13"/>
    <w:uiPriority w:val="99"/>
    <w:rPr>
      <w:sz w:val="18"/>
      <w:szCs w:val="18"/>
    </w:rPr>
  </w:style>
  <w:style w:type="character" w:customStyle="1" w:styleId="43">
    <w:name w:val="批注文字 字符"/>
    <w:basedOn w:val="19"/>
    <w:link w:val="11"/>
    <w:semiHidden/>
    <w:qFormat/>
    <w:uiPriority w:val="99"/>
  </w:style>
  <w:style w:type="character" w:customStyle="1" w:styleId="44">
    <w:name w:val="批注主题 字符"/>
    <w:basedOn w:val="43"/>
    <w:link w:val="17"/>
    <w:semiHidden/>
    <w:qFormat/>
    <w:uiPriority w:val="99"/>
    <w:rPr>
      <w:b/>
      <w:bCs/>
    </w:rPr>
  </w:style>
  <w:style w:type="character" w:customStyle="1" w:styleId="45">
    <w:name w:val="批注框文本 字符"/>
    <w:basedOn w:val="19"/>
    <w:link w:val="12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1376</Words>
  <Characters>1413</Characters>
  <Lines>18</Lines>
  <Paragraphs>5</Paragraphs>
  <TotalTime>39</TotalTime>
  <ScaleCrop>false</ScaleCrop>
  <LinksUpToDate>false</LinksUpToDate>
  <CharactersWithSpaces>1417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2024-05-06T01:05:00Z</dcterms:created>
  <dc:creator>钰 张</dc:creator>
  <cp:lastModifiedBy>段池</cp:lastModifiedBy>
  <dcterms:modified xsi:type="dcterms:W3CDTF">2026-03-27T02:14:10Z</dcterms:modified>
  <cp:revision>16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eyJoZGlkIjoiMmVkMDYxNzg5YmJlZTUyODViYzkzNjVhMDVhMDUzYTYiLCJ1c2VySWQiOiIxNjg1MTkxNzc3In0=</vt:lpwstr>
  </property>
  <property fmtid="{D5CDD505-2E9C-101B-9397-08002B2CF9AE}" pid="3" name="KSOProductBuildVer">
    <vt:lpwstr>2052-12.1.0.22529</vt:lpwstr>
  </property>
  <property fmtid="{D5CDD505-2E9C-101B-9397-08002B2CF9AE}" pid="4" name="ICV">
    <vt:lpwstr>A2C2A16315434E83ABFBBFD7A70C70B2_12</vt:lpwstr>
  </property>
</Properties>
</file>