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535272">
      <w:pPr>
        <w:spacing w:after="0"/>
        <w:jc w:val="center"/>
        <w:rPr>
          <w:rFonts w:ascii="Times New Roman" w:hAnsi="Times New Roman"/>
          <w:sz w:val="40"/>
          <w:szCs w:val="40"/>
          <w:lang w:eastAsia="zh-CN"/>
        </w:rPr>
      </w:pPr>
      <w:bookmarkStart w:id="0" w:name="_Toc152686777"/>
      <w:r>
        <w:rPr>
          <w:rFonts w:ascii="Times New Roman" w:hAnsi="Times New Roman"/>
          <w:sz w:val="40"/>
          <w:szCs w:val="40"/>
          <w:lang w:eastAsia="zh-CN"/>
        </w:rPr>
        <w:t>铝锂合金异形截面环件成形模具技术</w:t>
      </w:r>
      <w:bookmarkEnd w:id="0"/>
      <w:bookmarkStart w:id="1" w:name="_Toc17255705"/>
      <w:bookmarkStart w:id="2" w:name="_Toc19685041"/>
      <w:bookmarkStart w:id="3" w:name="_Toc43731162"/>
      <w:bookmarkStart w:id="4" w:name="_Toc43890183"/>
      <w:bookmarkStart w:id="5" w:name="_Toc11004192"/>
      <w:bookmarkStart w:id="6" w:name="_Toc43211838"/>
      <w:r>
        <w:rPr>
          <w:rFonts w:ascii="Times New Roman" w:hAnsi="Times New Roman"/>
          <w:sz w:val="40"/>
          <w:szCs w:val="40"/>
          <w:lang w:eastAsia="zh-CN"/>
        </w:rPr>
        <w:t>要求</w:t>
      </w:r>
      <w:bookmarkEnd w:id="1"/>
      <w:bookmarkEnd w:id="2"/>
      <w:bookmarkEnd w:id="3"/>
      <w:bookmarkEnd w:id="4"/>
      <w:bookmarkEnd w:id="5"/>
      <w:bookmarkEnd w:id="6"/>
    </w:p>
    <w:p w14:paraId="3A711DD6">
      <w:pPr>
        <w:spacing w:after="0" w:line="360" w:lineRule="auto"/>
        <w:ind w:left="1" w:firstLine="440" w:firstLineChars="200"/>
        <w:jc w:val="both"/>
        <w:rPr>
          <w:rFonts w:ascii="Times New Roman" w:hAnsi="Times New Roman"/>
          <w:color w:val="000000" w:themeColor="text1"/>
          <w:lang w:eastAsia="zh-CN"/>
          <w14:textFill>
            <w14:solidFill>
              <w14:schemeClr w14:val="tx1"/>
            </w14:solidFill>
          </w14:textFill>
        </w:rPr>
      </w:pPr>
      <w:bookmarkStart w:id="7" w:name="_Toc493246071"/>
      <w:bookmarkStart w:id="8" w:name="_Toc468367267"/>
      <w:bookmarkStart w:id="9" w:name="_Toc493239907"/>
    </w:p>
    <w:p w14:paraId="16DE49CB">
      <w:pPr>
        <w:spacing w:after="0" w:line="360" w:lineRule="auto"/>
        <w:ind w:left="1" w:firstLine="440" w:firstLineChars="200"/>
        <w:jc w:val="both"/>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本套工模具用于直径5000mm铝锂合金异形截面过渡环模内约束环轧近净成形，在直径5000mm环轧机上配套使用。要求模具在高温（最高500℃）热负荷、机械冲击负荷的加载与卸载作用下具有良好的力学性能、疲劳性能和冶金质量，不易发生变形，并具有较长的使用寿命。</w:t>
      </w:r>
      <w:bookmarkEnd w:id="7"/>
      <w:bookmarkEnd w:id="8"/>
      <w:bookmarkEnd w:id="9"/>
    </w:p>
    <w:p w14:paraId="68C1B0A8">
      <w:pPr>
        <w:spacing w:after="0" w:line="360" w:lineRule="auto"/>
        <w:ind w:left="1"/>
        <w:rPr>
          <w:rFonts w:ascii="Times New Roman" w:hAnsi="Times New Roman"/>
          <w:b/>
          <w:color w:val="000000" w:themeColor="text1"/>
          <w:lang w:eastAsia="zh-CN"/>
          <w14:textFill>
            <w14:solidFill>
              <w14:schemeClr w14:val="tx1"/>
            </w14:solidFill>
          </w14:textFill>
        </w:rPr>
      </w:pPr>
      <w:bookmarkStart w:id="10" w:name="_Toc123224968"/>
      <w:r>
        <w:rPr>
          <w:rFonts w:ascii="Times New Roman" w:hAnsi="Times New Roman"/>
          <w:b/>
          <w:color w:val="000000" w:themeColor="text1"/>
          <w:lang w:eastAsia="zh-CN"/>
          <w14:textFill>
            <w14:solidFill>
              <w14:schemeClr w14:val="tx1"/>
            </w14:solidFill>
          </w14:textFill>
        </w:rPr>
        <w:t>第一节、工模具名称、数量、构成及用途</w:t>
      </w:r>
      <w:bookmarkEnd w:id="10"/>
    </w:p>
    <w:p w14:paraId="69A31AE9">
      <w:pPr>
        <w:spacing w:after="0" w:line="360" w:lineRule="auto"/>
        <w:ind w:firstLine="440" w:firstLineChars="200"/>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为Ф5000mm铝锂合金异形截面过渡环模内约束环轧近净成形配套工模具购置名称、规格、数量及构成明细如下表：</w:t>
      </w:r>
    </w:p>
    <w:p w14:paraId="2B8429D7">
      <w:pPr>
        <w:spacing w:after="0" w:line="360" w:lineRule="auto"/>
        <w:ind w:left="1"/>
        <w:jc w:val="center"/>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表1  工模具明细表</w:t>
      </w:r>
    </w:p>
    <w:tbl>
      <w:tblPr>
        <w:tblStyle w:val="42"/>
        <w:tblpPr w:leftFromText="181" w:rightFromText="181" w:vertAnchor="text" w:horzAnchor="margin" w:tblpXSpec="center" w:tblpY="1"/>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7"/>
        <w:gridCol w:w="1341"/>
        <w:gridCol w:w="1590"/>
        <w:gridCol w:w="1300"/>
        <w:gridCol w:w="885"/>
        <w:gridCol w:w="2729"/>
      </w:tblGrid>
      <w:tr w14:paraId="1D2A5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397" w:type="pct"/>
            <w:tcBorders>
              <w:top w:val="single" w:color="auto" w:sz="4" w:space="0"/>
              <w:left w:val="single" w:color="auto" w:sz="4" w:space="0"/>
              <w:bottom w:val="single" w:color="auto" w:sz="4" w:space="0"/>
              <w:right w:val="single" w:color="auto" w:sz="4" w:space="0"/>
            </w:tcBorders>
            <w:vAlign w:val="center"/>
          </w:tcPr>
          <w:p w14:paraId="314C3C7B">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bookmarkStart w:id="11" w:name="_Hlk162015114"/>
            <w:bookmarkStart w:id="12" w:name="_Hlk162013576"/>
            <w:r>
              <w:rPr>
                <w:rFonts w:ascii="Times New Roman" w:hAnsi="Times New Roman"/>
                <w:color w:val="000000" w:themeColor="text1"/>
                <w:szCs w:val="20"/>
                <w:lang w:eastAsia="zh-CN"/>
                <w14:textFill>
                  <w14:solidFill>
                    <w14:schemeClr w14:val="tx1"/>
                  </w14:solidFill>
                </w14:textFill>
              </w:rPr>
              <w:t>序号</w:t>
            </w:r>
          </w:p>
        </w:tc>
        <w:tc>
          <w:tcPr>
            <w:tcW w:w="787" w:type="pct"/>
            <w:tcBorders>
              <w:top w:val="single" w:color="auto" w:sz="4" w:space="0"/>
              <w:left w:val="nil"/>
              <w:bottom w:val="single" w:color="auto" w:sz="4" w:space="0"/>
              <w:right w:val="single" w:color="auto" w:sz="4" w:space="0"/>
            </w:tcBorders>
            <w:vAlign w:val="center"/>
          </w:tcPr>
          <w:p w14:paraId="54B8FA5F">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名  称</w:t>
            </w:r>
          </w:p>
        </w:tc>
        <w:tc>
          <w:tcPr>
            <w:tcW w:w="933" w:type="pct"/>
            <w:tcBorders>
              <w:top w:val="single" w:color="auto" w:sz="4" w:space="0"/>
              <w:left w:val="nil"/>
              <w:bottom w:val="single" w:color="auto" w:sz="4" w:space="0"/>
              <w:right w:val="single" w:color="auto" w:sz="4" w:space="0"/>
            </w:tcBorders>
            <w:vAlign w:val="center"/>
          </w:tcPr>
          <w:p w14:paraId="5769F77C">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材料</w:t>
            </w:r>
          </w:p>
        </w:tc>
        <w:tc>
          <w:tcPr>
            <w:tcW w:w="763" w:type="pct"/>
            <w:tcBorders>
              <w:top w:val="single" w:color="auto" w:sz="4" w:space="0"/>
              <w:left w:val="nil"/>
              <w:bottom w:val="single" w:color="auto" w:sz="4" w:space="0"/>
              <w:right w:val="single" w:color="auto" w:sz="4" w:space="0"/>
            </w:tcBorders>
          </w:tcPr>
          <w:p w14:paraId="1ADBDCF7">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单重/kg</w:t>
            </w:r>
          </w:p>
        </w:tc>
        <w:tc>
          <w:tcPr>
            <w:tcW w:w="519" w:type="pct"/>
            <w:tcBorders>
              <w:top w:val="single" w:color="auto" w:sz="4" w:space="0"/>
              <w:left w:val="single" w:color="auto" w:sz="4" w:space="0"/>
              <w:bottom w:val="single" w:color="auto" w:sz="4" w:space="0"/>
              <w:right w:val="single" w:color="auto" w:sz="4" w:space="0"/>
            </w:tcBorders>
            <w:vAlign w:val="center"/>
          </w:tcPr>
          <w:p w14:paraId="17483C3F">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数量</w:t>
            </w:r>
          </w:p>
        </w:tc>
        <w:tc>
          <w:tcPr>
            <w:tcW w:w="1601" w:type="pct"/>
            <w:tcBorders>
              <w:top w:val="single" w:color="auto" w:sz="4" w:space="0"/>
              <w:left w:val="nil"/>
              <w:bottom w:val="single" w:color="auto" w:sz="4" w:space="0"/>
              <w:right w:val="single" w:color="auto" w:sz="4" w:space="0"/>
            </w:tcBorders>
            <w:vAlign w:val="center"/>
          </w:tcPr>
          <w:p w14:paraId="493BFB74">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备  注</w:t>
            </w:r>
          </w:p>
        </w:tc>
      </w:tr>
      <w:tr w14:paraId="41DDF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397" w:type="pct"/>
            <w:tcBorders>
              <w:top w:val="single" w:color="auto" w:sz="4" w:space="0"/>
              <w:left w:val="single" w:color="auto" w:sz="4" w:space="0"/>
              <w:bottom w:val="single" w:color="auto" w:sz="4" w:space="0"/>
              <w:right w:val="single" w:color="auto" w:sz="4" w:space="0"/>
            </w:tcBorders>
            <w:vAlign w:val="center"/>
          </w:tcPr>
          <w:p w14:paraId="7D7126B5">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1</w:t>
            </w:r>
          </w:p>
        </w:tc>
        <w:tc>
          <w:tcPr>
            <w:tcW w:w="787" w:type="pct"/>
            <w:tcBorders>
              <w:top w:val="single" w:color="auto" w:sz="4" w:space="0"/>
              <w:left w:val="nil"/>
              <w:bottom w:val="single" w:color="auto" w:sz="4" w:space="0"/>
              <w:right w:val="single" w:color="auto" w:sz="4" w:space="0"/>
            </w:tcBorders>
            <w:vAlign w:val="center"/>
          </w:tcPr>
          <w:p w14:paraId="78E6F36C">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环模</w:t>
            </w:r>
          </w:p>
        </w:tc>
        <w:tc>
          <w:tcPr>
            <w:tcW w:w="933" w:type="pct"/>
            <w:tcBorders>
              <w:top w:val="single" w:color="auto" w:sz="4" w:space="0"/>
              <w:left w:val="nil"/>
              <w:bottom w:val="single" w:color="auto" w:sz="4" w:space="0"/>
              <w:right w:val="single" w:color="auto" w:sz="4" w:space="0"/>
            </w:tcBorders>
            <w:vAlign w:val="center"/>
          </w:tcPr>
          <w:p w14:paraId="4F15783C">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szCs w:val="20"/>
                <w:lang w:eastAsia="zh-CN"/>
              </w:rPr>
              <w:t>5CrNiMo</w:t>
            </w:r>
          </w:p>
        </w:tc>
        <w:tc>
          <w:tcPr>
            <w:tcW w:w="763" w:type="pct"/>
            <w:tcBorders>
              <w:top w:val="single" w:color="auto" w:sz="4" w:space="0"/>
              <w:left w:val="nil"/>
              <w:bottom w:val="single" w:color="auto" w:sz="4" w:space="0"/>
              <w:right w:val="single" w:color="auto" w:sz="4" w:space="0"/>
            </w:tcBorders>
            <w:vAlign w:val="center"/>
          </w:tcPr>
          <w:p w14:paraId="6BA17FAC">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12338.0</w:t>
            </w:r>
          </w:p>
        </w:tc>
        <w:tc>
          <w:tcPr>
            <w:tcW w:w="519" w:type="pct"/>
            <w:tcBorders>
              <w:top w:val="single" w:color="auto" w:sz="4" w:space="0"/>
              <w:left w:val="single" w:color="auto" w:sz="4" w:space="0"/>
              <w:bottom w:val="single" w:color="auto" w:sz="4" w:space="0"/>
              <w:right w:val="single" w:color="auto" w:sz="4" w:space="0"/>
            </w:tcBorders>
            <w:vAlign w:val="center"/>
          </w:tcPr>
          <w:p w14:paraId="05B27556">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1件</w:t>
            </w:r>
          </w:p>
        </w:tc>
        <w:tc>
          <w:tcPr>
            <w:tcW w:w="1601" w:type="pct"/>
            <w:tcBorders>
              <w:top w:val="single" w:color="auto" w:sz="4" w:space="0"/>
              <w:left w:val="nil"/>
              <w:bottom w:val="single" w:color="auto" w:sz="4" w:space="0"/>
              <w:right w:val="single" w:color="auto" w:sz="4" w:space="0"/>
            </w:tcBorders>
            <w:vAlign w:val="center"/>
          </w:tcPr>
          <w:p w14:paraId="2A4C080F">
            <w:pPr>
              <w:spacing w:after="0" w:line="240" w:lineRule="auto"/>
              <w:jc w:val="both"/>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直径5.0m过渡环模内约束环轧成形的约束环模</w:t>
            </w:r>
          </w:p>
        </w:tc>
      </w:tr>
      <w:tr w14:paraId="4236F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397" w:type="pct"/>
            <w:tcBorders>
              <w:top w:val="single" w:color="auto" w:sz="4" w:space="0"/>
              <w:left w:val="single" w:color="auto" w:sz="4" w:space="0"/>
              <w:bottom w:val="single" w:color="auto" w:sz="4" w:space="0"/>
              <w:right w:val="single" w:color="auto" w:sz="4" w:space="0"/>
            </w:tcBorders>
            <w:vAlign w:val="center"/>
          </w:tcPr>
          <w:p w14:paraId="7BE19131">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2</w:t>
            </w:r>
          </w:p>
        </w:tc>
        <w:tc>
          <w:tcPr>
            <w:tcW w:w="787" w:type="pct"/>
            <w:tcBorders>
              <w:top w:val="single" w:color="auto" w:sz="4" w:space="0"/>
              <w:left w:val="nil"/>
              <w:bottom w:val="single" w:color="auto" w:sz="4" w:space="0"/>
              <w:right w:val="single" w:color="auto" w:sz="4" w:space="0"/>
            </w:tcBorders>
            <w:vAlign w:val="center"/>
          </w:tcPr>
          <w:p w14:paraId="178BF7D2">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异形芯辊</w:t>
            </w:r>
          </w:p>
        </w:tc>
        <w:tc>
          <w:tcPr>
            <w:tcW w:w="933" w:type="pct"/>
            <w:tcBorders>
              <w:top w:val="single" w:color="auto" w:sz="4" w:space="0"/>
              <w:left w:val="nil"/>
              <w:bottom w:val="single" w:color="auto" w:sz="4" w:space="0"/>
              <w:right w:val="single" w:color="auto" w:sz="4" w:space="0"/>
            </w:tcBorders>
            <w:vAlign w:val="center"/>
          </w:tcPr>
          <w:p w14:paraId="22CF4AC6">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szCs w:val="20"/>
                <w:lang w:eastAsia="zh-CN"/>
              </w:rPr>
              <w:t>5CrNiMo</w:t>
            </w:r>
          </w:p>
        </w:tc>
        <w:tc>
          <w:tcPr>
            <w:tcW w:w="763" w:type="pct"/>
            <w:tcBorders>
              <w:top w:val="single" w:color="auto" w:sz="4" w:space="0"/>
              <w:left w:val="nil"/>
              <w:bottom w:val="single" w:color="auto" w:sz="4" w:space="0"/>
              <w:right w:val="single" w:color="auto" w:sz="4" w:space="0"/>
            </w:tcBorders>
            <w:vAlign w:val="center"/>
          </w:tcPr>
          <w:p w14:paraId="327F4CBE">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2156.0</w:t>
            </w:r>
          </w:p>
        </w:tc>
        <w:tc>
          <w:tcPr>
            <w:tcW w:w="519" w:type="pct"/>
            <w:tcBorders>
              <w:top w:val="single" w:color="auto" w:sz="4" w:space="0"/>
              <w:left w:val="single" w:color="auto" w:sz="4" w:space="0"/>
              <w:bottom w:val="single" w:color="auto" w:sz="4" w:space="0"/>
              <w:right w:val="single" w:color="auto" w:sz="4" w:space="0"/>
            </w:tcBorders>
            <w:vAlign w:val="center"/>
          </w:tcPr>
          <w:p w14:paraId="057462FA">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1件</w:t>
            </w:r>
          </w:p>
        </w:tc>
        <w:tc>
          <w:tcPr>
            <w:tcW w:w="1601" w:type="pct"/>
            <w:tcBorders>
              <w:top w:val="single" w:color="auto" w:sz="4" w:space="0"/>
              <w:left w:val="nil"/>
              <w:bottom w:val="single" w:color="auto" w:sz="4" w:space="0"/>
              <w:right w:val="single" w:color="auto" w:sz="4" w:space="0"/>
            </w:tcBorders>
            <w:vAlign w:val="center"/>
          </w:tcPr>
          <w:p w14:paraId="5D05CA83">
            <w:pPr>
              <w:spacing w:after="0" w:line="360" w:lineRule="auto"/>
              <w:ind w:left="1"/>
              <w:jc w:val="both"/>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实现异形环件内型面成形</w:t>
            </w:r>
          </w:p>
        </w:tc>
      </w:tr>
      <w:bookmarkEnd w:id="11"/>
      <w:bookmarkEnd w:id="12"/>
    </w:tbl>
    <w:p w14:paraId="7323A837">
      <w:pPr>
        <w:spacing w:after="0" w:line="360" w:lineRule="auto"/>
        <w:ind w:firstLine="440" w:firstLineChars="200"/>
        <w:jc w:val="both"/>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工模具用途：该套工模具主要用于Ф5000mm铝锂合金异形截面过渡环模内约束环轧近净成形。能够满足500℃高温服役条件要求。</w:t>
      </w:r>
    </w:p>
    <w:p w14:paraId="4AB1CF48">
      <w:pPr>
        <w:spacing w:after="0" w:line="360" w:lineRule="auto"/>
        <w:ind w:firstLine="440" w:firstLineChars="200"/>
        <w:jc w:val="both"/>
        <w:rPr>
          <w:rFonts w:ascii="Times New Roman" w:hAnsi="Times New Roman"/>
          <w:color w:val="000000" w:themeColor="text1"/>
          <w:lang w:eastAsia="zh-CN"/>
          <w14:textFill>
            <w14:solidFill>
              <w14:schemeClr w14:val="tx1"/>
            </w14:solidFill>
          </w14:textFill>
        </w:rPr>
      </w:pPr>
    </w:p>
    <w:p w14:paraId="39F94955">
      <w:pPr>
        <w:spacing w:after="0" w:line="360" w:lineRule="auto"/>
        <w:ind w:left="1"/>
        <w:rPr>
          <w:rFonts w:ascii="Times New Roman" w:hAnsi="Times New Roman"/>
          <w:b/>
          <w:color w:val="000000" w:themeColor="text1"/>
          <w:lang w:eastAsia="zh-CN"/>
          <w14:textFill>
            <w14:solidFill>
              <w14:schemeClr w14:val="tx1"/>
            </w14:solidFill>
          </w14:textFill>
        </w:rPr>
      </w:pPr>
      <w:bookmarkStart w:id="13" w:name="_Toc468367268"/>
      <w:bookmarkStart w:id="14" w:name="_Toc493239908"/>
      <w:bookmarkStart w:id="15" w:name="_Toc123224969"/>
      <w:bookmarkStart w:id="16" w:name="_Toc493246072"/>
      <w:r>
        <w:rPr>
          <w:rFonts w:ascii="Times New Roman" w:hAnsi="Times New Roman"/>
          <w:b/>
          <w:color w:val="000000" w:themeColor="text1"/>
          <w:lang w:eastAsia="zh-CN"/>
          <w14:textFill>
            <w14:solidFill>
              <w14:schemeClr w14:val="tx1"/>
            </w14:solidFill>
          </w14:textFill>
        </w:rPr>
        <w:t>第二节、工模具使用环境</w:t>
      </w:r>
      <w:bookmarkEnd w:id="13"/>
      <w:r>
        <w:rPr>
          <w:rFonts w:ascii="Times New Roman" w:hAnsi="Times New Roman"/>
          <w:b/>
          <w:color w:val="000000" w:themeColor="text1"/>
          <w:lang w:eastAsia="zh-CN"/>
          <w14:textFill>
            <w14:solidFill>
              <w14:schemeClr w14:val="tx1"/>
            </w14:solidFill>
          </w14:textFill>
        </w:rPr>
        <w:t>条件</w:t>
      </w:r>
      <w:bookmarkEnd w:id="14"/>
      <w:bookmarkEnd w:id="15"/>
      <w:bookmarkEnd w:id="16"/>
    </w:p>
    <w:p w14:paraId="3C68E4ED">
      <w:pPr>
        <w:spacing w:after="0" w:line="360" w:lineRule="auto"/>
        <w:ind w:firstLine="440" w:firstLineChars="200"/>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极端最高温度：450-500</w:t>
      </w:r>
      <w:bookmarkStart w:id="17" w:name="_Hlk198217871"/>
      <w:r>
        <w:rPr>
          <w:rFonts w:ascii="Times New Roman" w:hAnsi="Times New Roman"/>
          <w:color w:val="000000" w:themeColor="text1"/>
          <w:lang w:eastAsia="zh-CN"/>
          <w14:textFill>
            <w14:solidFill>
              <w14:schemeClr w14:val="tx1"/>
            </w14:solidFill>
          </w14:textFill>
        </w:rPr>
        <w:t>℃</w:t>
      </w:r>
      <w:bookmarkEnd w:id="17"/>
    </w:p>
    <w:p w14:paraId="1F2329C6">
      <w:pPr>
        <w:spacing w:after="0" w:line="360" w:lineRule="auto"/>
        <w:ind w:firstLine="440" w:firstLineChars="200"/>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极端最低温度：0-5℃</w:t>
      </w:r>
    </w:p>
    <w:p w14:paraId="1143ACFE">
      <w:pPr>
        <w:spacing w:after="0" w:line="360" w:lineRule="auto"/>
        <w:ind w:firstLine="440" w:firstLineChars="200"/>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变形速度：20-0.005mm/s</w:t>
      </w:r>
    </w:p>
    <w:p w14:paraId="7380679B">
      <w:pPr>
        <w:spacing w:after="0" w:line="360" w:lineRule="auto"/>
        <w:ind w:firstLine="440" w:firstLineChars="200"/>
        <w:rPr>
          <w:rFonts w:ascii="Times New Roman" w:hAnsi="Times New Roman"/>
          <w:color w:val="000000" w:themeColor="text1"/>
          <w:lang w:eastAsia="zh-CN"/>
          <w14:textFill>
            <w14:solidFill>
              <w14:schemeClr w14:val="tx1"/>
            </w14:solidFill>
          </w14:textFill>
        </w:rPr>
      </w:pPr>
    </w:p>
    <w:p w14:paraId="09DBCFB3">
      <w:pPr>
        <w:spacing w:after="0" w:line="360" w:lineRule="auto"/>
        <w:rPr>
          <w:rFonts w:ascii="Times New Roman" w:hAnsi="Times New Roman"/>
          <w:b/>
          <w:color w:val="000000" w:themeColor="text1"/>
          <w:lang w:eastAsia="zh-CN"/>
          <w14:textFill>
            <w14:solidFill>
              <w14:schemeClr w14:val="tx1"/>
            </w14:solidFill>
          </w14:textFill>
        </w:rPr>
      </w:pPr>
      <w:bookmarkStart w:id="18" w:name="_Toc493246074"/>
      <w:bookmarkStart w:id="19" w:name="_Toc493239910"/>
      <w:bookmarkStart w:id="20" w:name="_Toc123224971"/>
      <w:r>
        <w:rPr>
          <w:rFonts w:ascii="Times New Roman" w:hAnsi="Times New Roman"/>
          <w:b/>
          <w:color w:val="000000" w:themeColor="text1"/>
          <w:lang w:eastAsia="zh-CN"/>
          <w14:textFill>
            <w14:solidFill>
              <w14:schemeClr w14:val="tx1"/>
            </w14:solidFill>
          </w14:textFill>
        </w:rPr>
        <w:t>第三节、工模具技术要求</w:t>
      </w:r>
      <w:bookmarkEnd w:id="18"/>
      <w:bookmarkEnd w:id="19"/>
      <w:bookmarkEnd w:id="20"/>
    </w:p>
    <w:p w14:paraId="14065D8A">
      <w:pPr>
        <w:spacing w:after="0" w:line="360" w:lineRule="auto"/>
        <w:ind w:firstLine="440" w:firstLineChars="200"/>
        <w:jc w:val="both"/>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工模具使用要求见表2。</w:t>
      </w:r>
    </w:p>
    <w:p w14:paraId="38EDD8DF">
      <w:pPr>
        <w:spacing w:after="0" w:line="360" w:lineRule="auto"/>
        <w:ind w:left="1"/>
        <w:jc w:val="center"/>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表</w:t>
      </w:r>
      <w:bookmarkStart w:id="21" w:name="_Hlk198218517"/>
      <w:r>
        <w:rPr>
          <w:rFonts w:ascii="Times New Roman" w:hAnsi="Times New Roman"/>
          <w:color w:val="000000" w:themeColor="text1"/>
          <w:lang w:eastAsia="zh-CN"/>
          <w14:textFill>
            <w14:solidFill>
              <w14:schemeClr w14:val="tx1"/>
            </w14:solidFill>
          </w14:textFill>
        </w:rPr>
        <w:t>2  工模具使用要求</w:t>
      </w:r>
      <w:bookmarkEnd w:id="21"/>
    </w:p>
    <w:tbl>
      <w:tblPr>
        <w:tblStyle w:val="18"/>
        <w:tblW w:w="7792" w:type="dxa"/>
        <w:jc w:val="center"/>
        <w:tblLayout w:type="fixed"/>
        <w:tblCellMar>
          <w:top w:w="0" w:type="dxa"/>
          <w:left w:w="0" w:type="dxa"/>
          <w:bottom w:w="0" w:type="dxa"/>
          <w:right w:w="0" w:type="dxa"/>
        </w:tblCellMar>
      </w:tblPr>
      <w:tblGrid>
        <w:gridCol w:w="686"/>
        <w:gridCol w:w="1286"/>
        <w:gridCol w:w="5820"/>
      </w:tblGrid>
      <w:tr w14:paraId="17E4DDED">
        <w:tblPrEx>
          <w:tblCellMar>
            <w:top w:w="0" w:type="dxa"/>
            <w:left w:w="0" w:type="dxa"/>
            <w:bottom w:w="0" w:type="dxa"/>
            <w:right w:w="0" w:type="dxa"/>
          </w:tblCellMar>
        </w:tblPrEx>
        <w:trPr>
          <w:trHeight w:val="40" w:hRule="atLeast"/>
          <w:jc w:val="center"/>
        </w:trPr>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A82AF82">
            <w:pPr>
              <w:spacing w:after="0" w:line="360" w:lineRule="auto"/>
              <w:ind w:left="1"/>
              <w:jc w:val="center"/>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序号</w:t>
            </w:r>
          </w:p>
        </w:tc>
        <w:tc>
          <w:tcPr>
            <w:tcW w:w="12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294060A">
            <w:pPr>
              <w:spacing w:after="0" w:line="360" w:lineRule="auto"/>
              <w:ind w:left="1"/>
              <w:jc w:val="center"/>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名称</w:t>
            </w:r>
          </w:p>
        </w:tc>
        <w:tc>
          <w:tcPr>
            <w:tcW w:w="58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3B87232">
            <w:pPr>
              <w:spacing w:after="0" w:line="360" w:lineRule="auto"/>
              <w:ind w:left="1"/>
              <w:jc w:val="center"/>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使用要求</w:t>
            </w:r>
          </w:p>
        </w:tc>
      </w:tr>
      <w:tr w14:paraId="7916EE51">
        <w:tblPrEx>
          <w:tblCellMar>
            <w:top w:w="0" w:type="dxa"/>
            <w:left w:w="0" w:type="dxa"/>
            <w:bottom w:w="0" w:type="dxa"/>
            <w:right w:w="0" w:type="dxa"/>
          </w:tblCellMar>
        </w:tblPrEx>
        <w:trPr>
          <w:trHeight w:val="468" w:hRule="atLeast"/>
          <w:jc w:val="center"/>
        </w:trPr>
        <w:tc>
          <w:tcPr>
            <w:tcW w:w="686" w:type="dxa"/>
            <w:vMerge w:val="restar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2228BAA">
            <w:pPr>
              <w:spacing w:after="0" w:line="360" w:lineRule="auto"/>
              <w:ind w:left="1"/>
              <w:jc w:val="center"/>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1</w:t>
            </w:r>
          </w:p>
        </w:tc>
        <w:tc>
          <w:tcPr>
            <w:tcW w:w="1286" w:type="dxa"/>
            <w:vMerge w:val="restar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254C5EF">
            <w:pPr>
              <w:spacing w:after="0" w:line="360" w:lineRule="auto"/>
              <w:ind w:left="1"/>
              <w:jc w:val="center"/>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环模</w:t>
            </w:r>
          </w:p>
        </w:tc>
        <w:tc>
          <w:tcPr>
            <w:tcW w:w="582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085ECE">
            <w:pPr>
              <w:spacing w:after="0" w:line="360" w:lineRule="auto"/>
              <w:ind w:left="1"/>
              <w:jc w:val="both"/>
              <w:rPr>
                <w:rFonts w:ascii="Times New Roman" w:hAnsi="Times New Roman"/>
                <w:lang w:eastAsia="zh-CN"/>
              </w:rPr>
            </w:pPr>
            <w:r>
              <w:rPr>
                <w:rFonts w:ascii="Times New Roman" w:hAnsi="Times New Roman"/>
                <w:lang w:eastAsia="zh-CN"/>
              </w:rPr>
              <w:t>1. 环模在室温—500℃温度下，具有良好的高温强度、韧性、疲劳性能；</w:t>
            </w:r>
          </w:p>
          <w:p w14:paraId="7329C3EC">
            <w:pPr>
              <w:spacing w:after="0" w:line="360" w:lineRule="auto"/>
              <w:ind w:left="1"/>
              <w:jc w:val="both"/>
              <w:rPr>
                <w:rFonts w:ascii="Times New Roman" w:hAnsi="Times New Roman"/>
                <w:lang w:eastAsia="zh-CN"/>
              </w:rPr>
            </w:pPr>
            <w:r>
              <w:rPr>
                <w:rFonts w:ascii="Times New Roman" w:hAnsi="Times New Roman"/>
                <w:lang w:eastAsia="zh-CN"/>
              </w:rPr>
              <w:t>2. 环模材料冶金质量优良，无裂纹、夹杂、疏松等影响使用的缺陷，超声波探伤达到A级合格；</w:t>
            </w:r>
          </w:p>
          <w:p w14:paraId="244E32B1">
            <w:pPr>
              <w:spacing w:after="0" w:line="360" w:lineRule="auto"/>
              <w:ind w:left="1"/>
              <w:jc w:val="both"/>
              <w:rPr>
                <w:rFonts w:ascii="Times New Roman" w:hAnsi="Times New Roman"/>
                <w:lang w:eastAsia="zh-CN"/>
              </w:rPr>
            </w:pPr>
            <w:r>
              <w:rPr>
                <w:rFonts w:ascii="Times New Roman" w:hAnsi="Times New Roman"/>
                <w:lang w:eastAsia="zh-CN"/>
              </w:rPr>
              <w:t>3. 环模工作表面硬度均匀，耐磨性好，不易发生粘模、氧化和热变形；</w:t>
            </w:r>
          </w:p>
          <w:p w14:paraId="66FB87BD">
            <w:pPr>
              <w:spacing w:after="0" w:line="360" w:lineRule="auto"/>
              <w:ind w:left="1"/>
              <w:jc w:val="both"/>
              <w:rPr>
                <w:rFonts w:ascii="Times New Roman" w:hAnsi="Times New Roman"/>
                <w:lang w:eastAsia="zh-CN"/>
              </w:rPr>
            </w:pPr>
            <w:r>
              <w:rPr>
                <w:rFonts w:ascii="Times New Roman" w:hAnsi="Times New Roman"/>
                <w:lang w:eastAsia="zh-CN"/>
              </w:rPr>
              <w:t>4. 环模整体结构刚度足够，模内约束环轧过程中不发生永久变形；</w:t>
            </w:r>
          </w:p>
          <w:p w14:paraId="493A3F1C">
            <w:pPr>
              <w:spacing w:after="0" w:line="360" w:lineRule="auto"/>
              <w:ind w:left="1"/>
              <w:jc w:val="both"/>
              <w:rPr>
                <w:rFonts w:ascii="Times New Roman" w:hAnsi="Times New Roman"/>
                <w:lang w:eastAsia="zh-CN"/>
              </w:rPr>
            </w:pPr>
            <w:r>
              <w:rPr>
                <w:rFonts w:ascii="Times New Roman" w:hAnsi="Times New Roman"/>
                <w:lang w:eastAsia="zh-CN"/>
              </w:rPr>
              <w:t>5. 满足图纸中的尺寸和硬度等其它需求。</w:t>
            </w:r>
          </w:p>
        </w:tc>
      </w:tr>
      <w:tr w14:paraId="54D0A51C">
        <w:tblPrEx>
          <w:tblCellMar>
            <w:top w:w="0" w:type="dxa"/>
            <w:left w:w="0" w:type="dxa"/>
            <w:bottom w:w="0" w:type="dxa"/>
            <w:right w:w="0" w:type="dxa"/>
          </w:tblCellMar>
        </w:tblPrEx>
        <w:trPr>
          <w:trHeight w:val="468"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FC19F3F">
            <w:pPr>
              <w:spacing w:after="0" w:line="360" w:lineRule="auto"/>
              <w:ind w:left="1"/>
              <w:rPr>
                <w:rFonts w:ascii="Times New Roman" w:hAnsi="Times New Roman"/>
                <w:color w:val="000000" w:themeColor="text1"/>
                <w:lang w:eastAsia="zh-CN"/>
                <w14:textFill>
                  <w14:solidFill>
                    <w14:schemeClr w14:val="tx1"/>
                  </w14:solidFill>
                </w14:textFill>
              </w:rPr>
            </w:pPr>
          </w:p>
        </w:tc>
        <w:tc>
          <w:tcPr>
            <w:tcW w:w="1286"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2071D9C">
            <w:pPr>
              <w:spacing w:after="0" w:line="360" w:lineRule="auto"/>
              <w:ind w:left="1"/>
              <w:rPr>
                <w:rFonts w:ascii="Times New Roman" w:hAnsi="Times New Roman"/>
                <w:color w:val="000000" w:themeColor="text1"/>
                <w:lang w:eastAsia="zh-CN"/>
                <w14:textFill>
                  <w14:solidFill>
                    <w14:schemeClr w14:val="tx1"/>
                  </w14:solidFill>
                </w14:textFill>
              </w:rPr>
            </w:pPr>
          </w:p>
        </w:tc>
        <w:tc>
          <w:tcPr>
            <w:tcW w:w="582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07CEE7">
            <w:pPr>
              <w:spacing w:after="0" w:line="360" w:lineRule="auto"/>
              <w:ind w:left="1"/>
              <w:rPr>
                <w:rFonts w:ascii="Times New Roman" w:hAnsi="Times New Roman"/>
                <w:lang w:eastAsia="zh-CN"/>
              </w:rPr>
            </w:pPr>
          </w:p>
        </w:tc>
      </w:tr>
      <w:tr w14:paraId="2BB75077">
        <w:tblPrEx>
          <w:tblCellMar>
            <w:top w:w="0" w:type="dxa"/>
            <w:left w:w="0" w:type="dxa"/>
            <w:bottom w:w="0" w:type="dxa"/>
            <w:right w:w="0" w:type="dxa"/>
          </w:tblCellMar>
        </w:tblPrEx>
        <w:trPr>
          <w:trHeight w:val="468" w:hRule="atLeast"/>
          <w:jc w:val="center"/>
        </w:trPr>
        <w:tc>
          <w:tcPr>
            <w:tcW w:w="686" w:type="dxa"/>
            <w:vMerge w:val="continue"/>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14:paraId="635B03FA">
            <w:pPr>
              <w:spacing w:after="0" w:line="360" w:lineRule="auto"/>
              <w:ind w:left="1"/>
              <w:rPr>
                <w:rFonts w:ascii="Times New Roman" w:hAnsi="Times New Roman"/>
                <w:color w:val="000000" w:themeColor="text1"/>
                <w:lang w:eastAsia="zh-CN"/>
                <w14:textFill>
                  <w14:solidFill>
                    <w14:schemeClr w14:val="tx1"/>
                  </w14:solidFill>
                </w14:textFill>
              </w:rPr>
            </w:pPr>
          </w:p>
        </w:tc>
        <w:tc>
          <w:tcPr>
            <w:tcW w:w="1286" w:type="dxa"/>
            <w:vMerge w:val="continue"/>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14:paraId="35B481BC">
            <w:pPr>
              <w:spacing w:after="0" w:line="360" w:lineRule="auto"/>
              <w:ind w:left="1"/>
              <w:rPr>
                <w:rFonts w:ascii="Times New Roman" w:hAnsi="Times New Roman"/>
                <w:color w:val="000000" w:themeColor="text1"/>
                <w:lang w:eastAsia="zh-CN"/>
                <w14:textFill>
                  <w14:solidFill>
                    <w14:schemeClr w14:val="tx1"/>
                  </w14:solidFill>
                </w14:textFill>
              </w:rPr>
            </w:pPr>
          </w:p>
        </w:tc>
        <w:tc>
          <w:tcPr>
            <w:tcW w:w="5820" w:type="dxa"/>
            <w:vMerge w:val="continue"/>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68E1E30F">
            <w:pPr>
              <w:spacing w:after="0" w:line="360" w:lineRule="auto"/>
              <w:ind w:left="1"/>
              <w:rPr>
                <w:rFonts w:ascii="Times New Roman" w:hAnsi="Times New Roman"/>
                <w:lang w:eastAsia="zh-CN"/>
              </w:rPr>
            </w:pPr>
          </w:p>
        </w:tc>
      </w:tr>
      <w:tr w14:paraId="0AFFEF5B">
        <w:tblPrEx>
          <w:tblCellMar>
            <w:top w:w="0" w:type="dxa"/>
            <w:left w:w="0" w:type="dxa"/>
            <w:bottom w:w="0" w:type="dxa"/>
            <w:right w:w="0" w:type="dxa"/>
          </w:tblCellMar>
        </w:tblPrEx>
        <w:trPr>
          <w:trHeight w:val="468" w:hRule="atLeast"/>
          <w:jc w:val="center"/>
        </w:trPr>
        <w:tc>
          <w:tcPr>
            <w:tcW w:w="686" w:type="dxa"/>
            <w:vMerge w:val="restart"/>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3296B315">
            <w:pPr>
              <w:spacing w:after="0" w:line="360" w:lineRule="auto"/>
              <w:ind w:left="1"/>
              <w:jc w:val="center"/>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2</w:t>
            </w:r>
          </w:p>
        </w:tc>
        <w:tc>
          <w:tcPr>
            <w:tcW w:w="1286" w:type="dxa"/>
            <w:vMerge w:val="restart"/>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5A60FBE7">
            <w:pPr>
              <w:spacing w:after="0" w:line="360" w:lineRule="auto"/>
              <w:ind w:left="1"/>
              <w:jc w:val="center"/>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异形芯辊</w:t>
            </w:r>
          </w:p>
        </w:tc>
        <w:tc>
          <w:tcPr>
            <w:tcW w:w="5820"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FA90DD0">
            <w:pPr>
              <w:spacing w:after="0" w:line="360" w:lineRule="auto"/>
              <w:ind w:left="1"/>
              <w:jc w:val="both"/>
              <w:rPr>
                <w:rFonts w:ascii="Times New Roman" w:hAnsi="Times New Roman"/>
                <w:lang w:eastAsia="zh-CN"/>
              </w:rPr>
            </w:pPr>
            <w:r>
              <w:rPr>
                <w:rFonts w:ascii="Times New Roman" w:hAnsi="Times New Roman"/>
                <w:lang w:eastAsia="zh-CN"/>
              </w:rPr>
              <w:t>1. 异形芯辊在室温—500℃温度范围内，具有良好的高温强度、韧性和热疲劳性能；</w:t>
            </w:r>
          </w:p>
          <w:p w14:paraId="3383B81C">
            <w:pPr>
              <w:spacing w:after="0" w:line="360" w:lineRule="auto"/>
              <w:ind w:left="1"/>
              <w:jc w:val="both"/>
              <w:rPr>
                <w:rFonts w:ascii="Times New Roman" w:hAnsi="Times New Roman"/>
                <w:lang w:eastAsia="zh-CN"/>
              </w:rPr>
            </w:pPr>
            <w:r>
              <w:rPr>
                <w:rFonts w:ascii="Times New Roman" w:hAnsi="Times New Roman"/>
                <w:lang w:eastAsia="zh-CN"/>
              </w:rPr>
              <w:t>2. 芯辊材料冶金质量优良，无裂纹、夹杂、疏松等影响使用的缺陷，超声波探伤达到A级合格；</w:t>
            </w:r>
          </w:p>
          <w:p w14:paraId="5F3AD1F4">
            <w:pPr>
              <w:spacing w:after="0" w:line="360" w:lineRule="auto"/>
              <w:ind w:left="1"/>
              <w:jc w:val="both"/>
              <w:rPr>
                <w:rFonts w:ascii="Times New Roman" w:hAnsi="Times New Roman"/>
                <w:lang w:eastAsia="zh-CN"/>
              </w:rPr>
            </w:pPr>
            <w:r>
              <w:rPr>
                <w:rFonts w:ascii="Times New Roman" w:hAnsi="Times New Roman"/>
                <w:lang w:eastAsia="zh-CN"/>
              </w:rPr>
              <w:t>3. 芯辊工作表面（异形型面）硬度均匀一致，耐磨性好，不易发生粘模、氧化、磨损或热变形；</w:t>
            </w:r>
          </w:p>
          <w:p w14:paraId="6E9557ED">
            <w:pPr>
              <w:spacing w:after="0" w:line="360" w:lineRule="auto"/>
              <w:ind w:left="1"/>
              <w:jc w:val="both"/>
              <w:rPr>
                <w:rFonts w:ascii="Times New Roman" w:hAnsi="Times New Roman"/>
                <w:lang w:eastAsia="zh-CN"/>
              </w:rPr>
            </w:pPr>
            <w:r>
              <w:rPr>
                <w:rFonts w:ascii="Times New Roman" w:hAnsi="Times New Roman"/>
                <w:lang w:eastAsia="zh-CN"/>
              </w:rPr>
              <w:t>4. 芯辊整体具有足够的刚度和强度，在模内约束环轧过程中不易发生弯曲或永久变形，保证异形环件内型面成形精度；</w:t>
            </w:r>
          </w:p>
          <w:p w14:paraId="55ACAD80">
            <w:pPr>
              <w:spacing w:after="0" w:line="360" w:lineRule="auto"/>
              <w:ind w:left="1"/>
              <w:jc w:val="both"/>
              <w:rPr>
                <w:rFonts w:ascii="Times New Roman" w:hAnsi="Times New Roman"/>
                <w:lang w:eastAsia="zh-CN"/>
              </w:rPr>
            </w:pPr>
            <w:r>
              <w:rPr>
                <w:rFonts w:ascii="Times New Roman" w:hAnsi="Times New Roman"/>
                <w:lang w:eastAsia="zh-CN"/>
              </w:rPr>
              <w:t>5. 满足图纸中的尺寸、公差、表面粗糙度及硬度等其他技术要求。</w:t>
            </w:r>
          </w:p>
        </w:tc>
      </w:tr>
      <w:tr w14:paraId="7F128465">
        <w:tblPrEx>
          <w:tblCellMar>
            <w:top w:w="0" w:type="dxa"/>
            <w:left w:w="0" w:type="dxa"/>
            <w:bottom w:w="0" w:type="dxa"/>
            <w:right w:w="0" w:type="dxa"/>
          </w:tblCellMar>
        </w:tblPrEx>
        <w:trPr>
          <w:trHeight w:val="468" w:hRule="atLeast"/>
          <w:jc w:val="center"/>
        </w:trPr>
        <w:tc>
          <w:tcPr>
            <w:tcW w:w="686" w:type="dxa"/>
            <w:vMerge w:val="continue"/>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178E3FA4">
            <w:pPr>
              <w:spacing w:after="0" w:line="360" w:lineRule="auto"/>
              <w:ind w:left="1"/>
              <w:jc w:val="center"/>
              <w:rPr>
                <w:rFonts w:ascii="Times New Roman" w:hAnsi="Times New Roman"/>
                <w:color w:val="000000" w:themeColor="text1"/>
                <w:lang w:eastAsia="zh-CN"/>
                <w14:textFill>
                  <w14:solidFill>
                    <w14:schemeClr w14:val="tx1"/>
                  </w14:solidFill>
                </w14:textFill>
              </w:rPr>
            </w:pPr>
          </w:p>
        </w:tc>
        <w:tc>
          <w:tcPr>
            <w:tcW w:w="1286" w:type="dxa"/>
            <w:vMerge w:val="continue"/>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472C384A">
            <w:pPr>
              <w:spacing w:after="0" w:line="360" w:lineRule="auto"/>
              <w:ind w:left="1"/>
              <w:jc w:val="center"/>
              <w:rPr>
                <w:rFonts w:ascii="Times New Roman" w:hAnsi="Times New Roman"/>
                <w:color w:val="000000" w:themeColor="text1"/>
                <w:lang w:eastAsia="zh-CN"/>
                <w14:textFill>
                  <w14:solidFill>
                    <w14:schemeClr w14:val="tx1"/>
                  </w14:solidFill>
                </w14:textFill>
              </w:rPr>
            </w:pPr>
          </w:p>
        </w:tc>
        <w:tc>
          <w:tcPr>
            <w:tcW w:w="5820"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6785431">
            <w:pPr>
              <w:spacing w:after="0" w:line="360" w:lineRule="auto"/>
              <w:ind w:left="1"/>
              <w:jc w:val="both"/>
              <w:rPr>
                <w:rFonts w:ascii="Times New Roman" w:hAnsi="Times New Roman"/>
                <w:lang w:eastAsia="zh-CN"/>
              </w:rPr>
            </w:pPr>
          </w:p>
        </w:tc>
      </w:tr>
      <w:tr w14:paraId="5D69E505">
        <w:tblPrEx>
          <w:tblCellMar>
            <w:top w:w="0" w:type="dxa"/>
            <w:left w:w="0" w:type="dxa"/>
            <w:bottom w:w="0" w:type="dxa"/>
            <w:right w:w="0" w:type="dxa"/>
          </w:tblCellMar>
        </w:tblPrEx>
        <w:trPr>
          <w:trHeight w:val="468" w:hRule="atLeast"/>
          <w:jc w:val="center"/>
        </w:trPr>
        <w:tc>
          <w:tcPr>
            <w:tcW w:w="686" w:type="dxa"/>
            <w:vMerge w:val="continue"/>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046E1E3E">
            <w:pPr>
              <w:spacing w:after="0" w:line="360" w:lineRule="auto"/>
              <w:ind w:left="1"/>
              <w:jc w:val="center"/>
              <w:rPr>
                <w:rFonts w:ascii="Times New Roman" w:hAnsi="Times New Roman"/>
                <w:color w:val="000000" w:themeColor="text1"/>
                <w:lang w:eastAsia="zh-CN"/>
                <w14:textFill>
                  <w14:solidFill>
                    <w14:schemeClr w14:val="tx1"/>
                  </w14:solidFill>
                </w14:textFill>
              </w:rPr>
            </w:pPr>
          </w:p>
        </w:tc>
        <w:tc>
          <w:tcPr>
            <w:tcW w:w="1286" w:type="dxa"/>
            <w:vMerge w:val="continue"/>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0F8AD444">
            <w:pPr>
              <w:spacing w:after="0" w:line="360" w:lineRule="auto"/>
              <w:ind w:left="1"/>
              <w:jc w:val="center"/>
              <w:rPr>
                <w:rFonts w:ascii="Times New Roman" w:hAnsi="Times New Roman"/>
                <w:color w:val="000000" w:themeColor="text1"/>
                <w:lang w:eastAsia="zh-CN"/>
                <w14:textFill>
                  <w14:solidFill>
                    <w14:schemeClr w14:val="tx1"/>
                  </w14:solidFill>
                </w14:textFill>
              </w:rPr>
            </w:pPr>
          </w:p>
        </w:tc>
        <w:tc>
          <w:tcPr>
            <w:tcW w:w="5820"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BFE00D4">
            <w:pPr>
              <w:spacing w:after="0" w:line="360" w:lineRule="auto"/>
              <w:ind w:left="1"/>
              <w:jc w:val="both"/>
              <w:rPr>
                <w:rFonts w:ascii="Times New Roman" w:hAnsi="Times New Roman"/>
                <w:lang w:eastAsia="zh-CN"/>
              </w:rPr>
            </w:pPr>
          </w:p>
        </w:tc>
      </w:tr>
    </w:tbl>
    <w:p w14:paraId="15A18783">
      <w:pPr>
        <w:spacing w:after="0" w:line="360" w:lineRule="auto"/>
        <w:rPr>
          <w:rFonts w:ascii="Times New Roman" w:hAnsi="Times New Roman"/>
          <w:b/>
          <w:color w:val="000000" w:themeColor="text1"/>
          <w:lang w:eastAsia="zh-CN"/>
          <w14:textFill>
            <w14:solidFill>
              <w14:schemeClr w14:val="tx1"/>
            </w14:solidFill>
          </w14:textFill>
        </w:rPr>
      </w:pPr>
      <w:bookmarkStart w:id="22" w:name="_MON_1729340281"/>
      <w:bookmarkEnd w:id="22"/>
      <w:bookmarkStart w:id="23" w:name="_MON_1733840181"/>
      <w:bookmarkEnd w:id="23"/>
    </w:p>
    <w:p w14:paraId="7E2FC7D8">
      <w:pPr>
        <w:spacing w:after="0" w:line="360" w:lineRule="auto"/>
        <w:rPr>
          <w:rFonts w:ascii="Times New Roman" w:hAnsi="Times New Roman"/>
          <w:b/>
          <w:color w:val="000000" w:themeColor="text1"/>
          <w:lang w:eastAsia="zh-CN"/>
          <w14:textFill>
            <w14:solidFill>
              <w14:schemeClr w14:val="tx1"/>
            </w14:solidFill>
          </w14:textFill>
        </w:rPr>
      </w:pPr>
      <w:r>
        <w:rPr>
          <w:rFonts w:ascii="Times New Roman" w:hAnsi="Times New Roman"/>
          <w:b/>
          <w:color w:val="000000" w:themeColor="text1"/>
          <w:lang w:eastAsia="zh-CN"/>
          <w14:textFill>
            <w14:solidFill>
              <w14:schemeClr w14:val="tx1"/>
            </w14:solidFill>
          </w14:textFill>
        </w:rPr>
        <w:t>第四节、加工制造要求</w:t>
      </w:r>
    </w:p>
    <w:p w14:paraId="0A12A900">
      <w:pPr>
        <w:spacing w:after="0" w:line="360" w:lineRule="auto"/>
        <w:ind w:left="1"/>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（一）热处理</w:t>
      </w:r>
    </w:p>
    <w:p w14:paraId="08EA1E79">
      <w:pPr>
        <w:spacing w:after="0" w:line="360" w:lineRule="auto"/>
        <w:ind w:left="1"/>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1、部件热处理前表面应无裂纹和影响热处理质量缺陷存在；</w:t>
      </w:r>
    </w:p>
    <w:p w14:paraId="189FC7A6">
      <w:pPr>
        <w:spacing w:after="0" w:line="360" w:lineRule="auto"/>
        <w:ind w:left="1"/>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2、所有锻件在最终热处理后应进行超声探伤检验，</w:t>
      </w:r>
      <w:r>
        <w:rPr>
          <w:rFonts w:ascii="Times New Roman" w:hAnsi="Times New Roman"/>
          <w:lang w:eastAsia="zh-CN"/>
        </w:rPr>
        <w:t>符合A级标准</w:t>
      </w:r>
      <w:r>
        <w:rPr>
          <w:rFonts w:ascii="Times New Roman" w:hAnsi="Times New Roman"/>
          <w:color w:val="000000" w:themeColor="text1"/>
          <w:lang w:eastAsia="zh-CN"/>
          <w14:textFill>
            <w14:solidFill>
              <w14:schemeClr w14:val="tx1"/>
            </w14:solidFill>
          </w14:textFill>
        </w:rPr>
        <w:t>。热处理件内不得有白点、内裂、缩管残余等缺陷存在；</w:t>
      </w:r>
    </w:p>
    <w:p w14:paraId="44BAEDEA">
      <w:pPr>
        <w:spacing w:after="0" w:line="360" w:lineRule="auto"/>
        <w:ind w:left="1"/>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3、凡要进行调质或淬火的零件应避免锐边、锐角和锐口；</w:t>
      </w:r>
    </w:p>
    <w:p w14:paraId="52461634">
      <w:pPr>
        <w:spacing w:after="0" w:line="360" w:lineRule="auto"/>
        <w:ind w:left="1"/>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4、经过热处理后的部件必须达到图纸和技术文件要求，不得有裂纹、烧伤、碰伤、脱碳等影响使用和后续加工的缺陷。</w:t>
      </w:r>
    </w:p>
    <w:p w14:paraId="65CEADD1">
      <w:pPr>
        <w:spacing w:after="0" w:line="360" w:lineRule="auto"/>
        <w:ind w:left="1"/>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（二）机械加工</w:t>
      </w:r>
    </w:p>
    <w:p w14:paraId="44EF1E77">
      <w:pPr>
        <w:spacing w:after="0" w:line="360" w:lineRule="auto"/>
        <w:ind w:left="1"/>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按照图样、技术文件要求以及相关国家和行业标准</w:t>
      </w:r>
    </w:p>
    <w:p w14:paraId="24709885">
      <w:pPr>
        <w:spacing w:after="0" w:line="360" w:lineRule="auto"/>
        <w:ind w:left="1"/>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《重型机械通用技术条件 切削加工件》        JB/T 5000.9</w:t>
      </w:r>
    </w:p>
    <w:p w14:paraId="0E97DF44">
      <w:pPr>
        <w:spacing w:after="0" w:line="360" w:lineRule="auto"/>
        <w:ind w:left="1"/>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《冶金设备制造通用技术条件 机械加工件》    YB/T 036.17</w:t>
      </w:r>
    </w:p>
    <w:p w14:paraId="735CE8F9">
      <w:pPr>
        <w:spacing w:after="0" w:line="360" w:lineRule="auto"/>
        <w:ind w:firstLine="440" w:firstLineChars="200"/>
        <w:rPr>
          <w:rFonts w:ascii="Times New Roman" w:hAnsi="Times New Roman"/>
          <w:color w:val="000000" w:themeColor="text1"/>
          <w:lang w:eastAsia="zh-CN"/>
          <w14:textFill>
            <w14:solidFill>
              <w14:schemeClr w14:val="tx1"/>
            </w14:solidFill>
          </w14:textFill>
        </w:rPr>
      </w:pPr>
    </w:p>
    <w:tbl>
      <w:tblPr>
        <w:tblStyle w:val="18"/>
        <w:tblW w:w="8666" w:type="dxa"/>
        <w:tblInd w:w="0" w:type="dxa"/>
        <w:tblLayout w:type="fixed"/>
        <w:tblCellMar>
          <w:top w:w="0" w:type="dxa"/>
          <w:left w:w="108" w:type="dxa"/>
          <w:bottom w:w="0" w:type="dxa"/>
          <w:right w:w="108" w:type="dxa"/>
        </w:tblCellMar>
      </w:tblPr>
      <w:tblGrid>
        <w:gridCol w:w="8666"/>
      </w:tblGrid>
      <w:tr w14:paraId="1904CCD7">
        <w:tblPrEx>
          <w:tblCellMar>
            <w:top w:w="0" w:type="dxa"/>
            <w:left w:w="108" w:type="dxa"/>
            <w:bottom w:w="0" w:type="dxa"/>
            <w:right w:w="108" w:type="dxa"/>
          </w:tblCellMar>
        </w:tblPrEx>
        <w:trPr>
          <w:trHeight w:val="844" w:hRule="atLeast"/>
        </w:trPr>
        <w:tc>
          <w:tcPr>
            <w:tcW w:w="8666" w:type="dxa"/>
            <w:tcBorders>
              <w:top w:val="nil"/>
              <w:left w:val="nil"/>
              <w:bottom w:val="nil"/>
              <w:right w:val="nil"/>
            </w:tcBorders>
            <w:shd w:val="clear" w:color="auto" w:fill="auto"/>
            <w:vAlign w:val="center"/>
          </w:tcPr>
          <w:p w14:paraId="29CE8F01">
            <w:pPr>
              <w:spacing w:after="0" w:line="360" w:lineRule="auto"/>
              <w:ind w:left="1"/>
              <w:rPr>
                <w:rFonts w:ascii="Times New Roman" w:hAnsi="Times New Roman"/>
                <w:b/>
                <w:color w:val="000000" w:themeColor="text1"/>
                <w:lang w:eastAsia="zh-CN"/>
                <w14:textFill>
                  <w14:solidFill>
                    <w14:schemeClr w14:val="tx1"/>
                  </w14:solidFill>
                </w14:textFill>
              </w:rPr>
            </w:pPr>
            <w:r>
              <w:rPr>
                <w:rFonts w:ascii="Times New Roman" w:hAnsi="Times New Roman"/>
                <w:b/>
                <w:color w:val="000000" w:themeColor="text1"/>
                <w:lang w:eastAsia="zh-CN"/>
                <w14:textFill>
                  <w14:solidFill>
                    <w14:schemeClr w14:val="tx1"/>
                  </w14:solidFill>
                </w14:textFill>
              </w:rPr>
              <w:t>第五节、工模具主要部件数量、材质及设计加工要求（详见图纸）</w:t>
            </w:r>
          </w:p>
          <w:p w14:paraId="3EC9FD90">
            <w:pPr>
              <w:spacing w:after="0" w:line="360" w:lineRule="auto"/>
              <w:ind w:firstLine="442" w:firstLineChars="200"/>
              <w:rPr>
                <w:rFonts w:ascii="Times New Roman" w:hAnsi="Times New Roman"/>
                <w:color w:val="000000" w:themeColor="text1"/>
                <w:lang w:eastAsia="zh-CN"/>
                <w14:textFill>
                  <w14:solidFill>
                    <w14:schemeClr w14:val="tx1"/>
                  </w14:solidFill>
                </w14:textFill>
              </w:rPr>
            </w:pPr>
            <w:r>
              <w:rPr>
                <w:rFonts w:ascii="Times New Roman" w:hAnsi="Times New Roman"/>
                <w:b/>
                <w:bCs/>
                <w:color w:val="000000" w:themeColor="text1"/>
                <w:lang w:eastAsia="zh-CN"/>
                <w14:textFill>
                  <w14:solidFill>
                    <w14:schemeClr w14:val="tx1"/>
                  </w14:solidFill>
                </w14:textFill>
              </w:rPr>
              <w:t>全部工模具部件加工制造及材质按附件中的总装图、零件图等具体要求执行</w:t>
            </w:r>
            <w:r>
              <w:rPr>
                <w:rFonts w:ascii="Times New Roman" w:hAnsi="Times New Roman"/>
                <w:color w:val="000000" w:themeColor="text1"/>
                <w:lang w:eastAsia="zh-CN"/>
                <w14:textFill>
                  <w14:solidFill>
                    <w14:schemeClr w14:val="tx1"/>
                  </w14:solidFill>
                </w14:textFill>
              </w:rPr>
              <w:t>，规格</w:t>
            </w:r>
            <w:r>
              <w:rPr>
                <w:rFonts w:hint="eastAsia" w:ascii="Times New Roman" w:hAnsi="Times New Roman"/>
                <w:color w:val="000000" w:themeColor="text1"/>
                <w:lang w:eastAsia="zh-CN"/>
                <w14:textFill>
                  <w14:solidFill>
                    <w14:schemeClr w14:val="tx1"/>
                  </w14:solidFill>
                </w14:textFill>
              </w:rPr>
              <w:t>、</w:t>
            </w:r>
            <w:r>
              <w:rPr>
                <w:rFonts w:ascii="Times New Roman" w:hAnsi="Times New Roman"/>
                <w:color w:val="000000" w:themeColor="text1"/>
                <w:lang w:eastAsia="zh-CN"/>
                <w14:textFill>
                  <w14:solidFill>
                    <w14:schemeClr w14:val="tx1"/>
                  </w14:solidFill>
                </w14:textFill>
              </w:rPr>
              <w:t>数量</w:t>
            </w:r>
            <w:r>
              <w:rPr>
                <w:rFonts w:hint="eastAsia" w:ascii="Times New Roman" w:hAnsi="Times New Roman"/>
                <w:color w:val="000000" w:themeColor="text1"/>
                <w:lang w:eastAsia="zh-CN"/>
                <w14:textFill>
                  <w14:solidFill>
                    <w14:schemeClr w14:val="tx1"/>
                  </w14:solidFill>
                </w14:textFill>
              </w:rPr>
              <w:t>与性能要求</w:t>
            </w:r>
            <w:r>
              <w:rPr>
                <w:rFonts w:ascii="Times New Roman" w:hAnsi="Times New Roman"/>
                <w:color w:val="000000" w:themeColor="text1"/>
                <w:lang w:eastAsia="zh-CN"/>
                <w14:textFill>
                  <w14:solidFill>
                    <w14:schemeClr w14:val="tx1"/>
                  </w14:solidFill>
                </w14:textFill>
              </w:rPr>
              <w:t>明细见表3</w:t>
            </w:r>
            <w:r>
              <w:rPr>
                <w:rFonts w:hint="eastAsia" w:ascii="Times New Roman" w:hAnsi="Times New Roman"/>
                <w:color w:val="000000" w:themeColor="text1"/>
                <w:lang w:eastAsia="zh-CN"/>
                <w14:textFill>
                  <w14:solidFill>
                    <w14:schemeClr w14:val="tx1"/>
                  </w14:solidFill>
                </w14:textFill>
              </w:rPr>
              <w:t>、表4</w:t>
            </w:r>
            <w:r>
              <w:rPr>
                <w:rFonts w:ascii="Times New Roman" w:hAnsi="Times New Roman"/>
                <w:color w:val="000000" w:themeColor="text1"/>
                <w:lang w:eastAsia="zh-CN"/>
                <w14:textFill>
                  <w14:solidFill>
                    <w14:schemeClr w14:val="tx1"/>
                  </w14:solidFill>
                </w14:textFill>
              </w:rPr>
              <w:t>。</w:t>
            </w:r>
          </w:p>
          <w:p w14:paraId="1C5169F8">
            <w:pPr>
              <w:spacing w:after="0" w:line="360" w:lineRule="auto"/>
              <w:jc w:val="center"/>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表3工模具主要部件数量、材质及设计加工明细</w:t>
            </w:r>
          </w:p>
          <w:tbl>
            <w:tblPr>
              <w:tblStyle w:val="42"/>
              <w:tblpPr w:leftFromText="181" w:rightFromText="181" w:vertAnchor="text" w:horzAnchor="margin" w:tblpX="-152" w:tblpY="1"/>
              <w:tblOverlap w:val="never"/>
              <w:tblW w:w="85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7"/>
              <w:gridCol w:w="1678"/>
              <w:gridCol w:w="2238"/>
              <w:gridCol w:w="872"/>
              <w:gridCol w:w="1324"/>
              <w:gridCol w:w="1282"/>
            </w:tblGrid>
            <w:tr w14:paraId="24FFD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682" w:type="pct"/>
                  <w:tcBorders>
                    <w:top w:val="single" w:color="auto" w:sz="4" w:space="0"/>
                    <w:left w:val="single" w:color="auto" w:sz="4" w:space="0"/>
                    <w:bottom w:val="single" w:color="auto" w:sz="4" w:space="0"/>
                    <w:right w:val="single" w:color="auto" w:sz="4" w:space="0"/>
                  </w:tcBorders>
                  <w:vAlign w:val="center"/>
                </w:tcPr>
                <w:p w14:paraId="67F59FA0">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序号</w:t>
                  </w:r>
                </w:p>
              </w:tc>
              <w:tc>
                <w:tcPr>
                  <w:tcW w:w="980" w:type="pct"/>
                  <w:tcBorders>
                    <w:top w:val="single" w:color="auto" w:sz="4" w:space="0"/>
                    <w:left w:val="nil"/>
                    <w:bottom w:val="single" w:color="auto" w:sz="4" w:space="0"/>
                    <w:right w:val="single" w:color="auto" w:sz="4" w:space="0"/>
                  </w:tcBorders>
                  <w:vAlign w:val="center"/>
                </w:tcPr>
                <w:p w14:paraId="54F9A8F2">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名  称</w:t>
                  </w:r>
                </w:p>
              </w:tc>
              <w:tc>
                <w:tcPr>
                  <w:tcW w:w="1307" w:type="pct"/>
                  <w:tcBorders>
                    <w:top w:val="single" w:color="auto" w:sz="4" w:space="0"/>
                    <w:left w:val="nil"/>
                    <w:bottom w:val="single" w:color="auto" w:sz="4" w:space="0"/>
                    <w:right w:val="single" w:color="auto" w:sz="4" w:space="0"/>
                  </w:tcBorders>
                  <w:vAlign w:val="center"/>
                </w:tcPr>
                <w:p w14:paraId="08D3345E">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规  格（mm）</w:t>
                  </w:r>
                </w:p>
              </w:tc>
              <w:tc>
                <w:tcPr>
                  <w:tcW w:w="509" w:type="pct"/>
                  <w:tcBorders>
                    <w:top w:val="single" w:color="auto" w:sz="4" w:space="0"/>
                    <w:left w:val="nil"/>
                    <w:bottom w:val="single" w:color="auto" w:sz="4" w:space="0"/>
                    <w:right w:val="single" w:color="auto" w:sz="4" w:space="0"/>
                  </w:tcBorders>
                  <w:vAlign w:val="center"/>
                </w:tcPr>
                <w:p w14:paraId="298CB591">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数量</w:t>
                  </w:r>
                </w:p>
              </w:tc>
              <w:tc>
                <w:tcPr>
                  <w:tcW w:w="773" w:type="pct"/>
                  <w:tcBorders>
                    <w:top w:val="single" w:color="auto" w:sz="4" w:space="0"/>
                    <w:left w:val="nil"/>
                    <w:bottom w:val="single" w:color="auto" w:sz="4" w:space="0"/>
                    <w:right w:val="single" w:color="auto" w:sz="4" w:space="0"/>
                  </w:tcBorders>
                  <w:vAlign w:val="center"/>
                </w:tcPr>
                <w:p w14:paraId="161E5717">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材质</w:t>
                  </w:r>
                </w:p>
              </w:tc>
              <w:tc>
                <w:tcPr>
                  <w:tcW w:w="749" w:type="pct"/>
                  <w:tcBorders>
                    <w:top w:val="single" w:color="auto" w:sz="4" w:space="0"/>
                    <w:left w:val="nil"/>
                    <w:bottom w:val="single" w:color="auto" w:sz="4" w:space="0"/>
                    <w:right w:val="single" w:color="auto" w:sz="4" w:space="0"/>
                  </w:tcBorders>
                  <w:vAlign w:val="center"/>
                </w:tcPr>
                <w:p w14:paraId="5EB78779">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 w:val="21"/>
                      <w:szCs w:val="21"/>
                      <w:lang w:eastAsia="zh-CN"/>
                      <w14:textFill>
                        <w14:solidFill>
                          <w14:schemeClr w14:val="tx1"/>
                        </w14:solidFill>
                      </w14:textFill>
                    </w:rPr>
                    <w:t>重量/kg</w:t>
                  </w:r>
                </w:p>
              </w:tc>
            </w:tr>
            <w:tr w14:paraId="151A1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682" w:type="pct"/>
                  <w:tcBorders>
                    <w:top w:val="single" w:color="auto" w:sz="4" w:space="0"/>
                    <w:left w:val="single" w:color="auto" w:sz="4" w:space="0"/>
                    <w:bottom w:val="single" w:color="auto" w:sz="4" w:space="0"/>
                    <w:right w:val="single" w:color="auto" w:sz="4" w:space="0"/>
                  </w:tcBorders>
                  <w:vAlign w:val="center"/>
                </w:tcPr>
                <w:p w14:paraId="060AD539">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1</w:t>
                  </w:r>
                </w:p>
              </w:tc>
              <w:tc>
                <w:tcPr>
                  <w:tcW w:w="980" w:type="pct"/>
                  <w:tcBorders>
                    <w:top w:val="single" w:color="auto" w:sz="4" w:space="0"/>
                    <w:left w:val="nil"/>
                    <w:bottom w:val="single" w:color="auto" w:sz="4" w:space="0"/>
                    <w:right w:val="single" w:color="auto" w:sz="4" w:space="0"/>
                  </w:tcBorders>
                  <w:vAlign w:val="center"/>
                </w:tcPr>
                <w:p w14:paraId="68A29B6F">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环模</w:t>
                  </w:r>
                </w:p>
              </w:tc>
              <w:tc>
                <w:tcPr>
                  <w:tcW w:w="1307" w:type="pct"/>
                  <w:tcBorders>
                    <w:top w:val="single" w:color="auto" w:sz="4" w:space="0"/>
                    <w:left w:val="nil"/>
                    <w:bottom w:val="single" w:color="auto" w:sz="4" w:space="0"/>
                    <w:right w:val="single" w:color="auto" w:sz="4" w:space="0"/>
                  </w:tcBorders>
                  <w:vAlign w:val="center"/>
                </w:tcPr>
                <w:p w14:paraId="4131E636">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Φ5171×Φ4666×668</w:t>
                  </w:r>
                </w:p>
              </w:tc>
              <w:tc>
                <w:tcPr>
                  <w:tcW w:w="509" w:type="pct"/>
                  <w:tcBorders>
                    <w:top w:val="single" w:color="auto" w:sz="4" w:space="0"/>
                    <w:left w:val="nil"/>
                    <w:bottom w:val="single" w:color="auto" w:sz="4" w:space="0"/>
                    <w:right w:val="single" w:color="auto" w:sz="4" w:space="0"/>
                  </w:tcBorders>
                  <w:vAlign w:val="center"/>
                </w:tcPr>
                <w:p w14:paraId="32598D3F">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1件</w:t>
                  </w:r>
                </w:p>
              </w:tc>
              <w:tc>
                <w:tcPr>
                  <w:tcW w:w="773" w:type="pct"/>
                  <w:tcBorders>
                    <w:top w:val="single" w:color="auto" w:sz="4" w:space="0"/>
                    <w:left w:val="nil"/>
                    <w:bottom w:val="single" w:color="auto" w:sz="4" w:space="0"/>
                    <w:right w:val="single" w:color="auto" w:sz="4" w:space="0"/>
                  </w:tcBorders>
                  <w:vAlign w:val="center"/>
                </w:tcPr>
                <w:p w14:paraId="308C6562">
                  <w:pPr>
                    <w:spacing w:after="0" w:line="240" w:lineRule="auto"/>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szCs w:val="20"/>
                      <w:lang w:eastAsia="zh-CN"/>
                    </w:rPr>
                    <w:t>5CrNiMo</w:t>
                  </w:r>
                </w:p>
              </w:tc>
              <w:tc>
                <w:tcPr>
                  <w:tcW w:w="749" w:type="pct"/>
                  <w:tcBorders>
                    <w:top w:val="single" w:color="auto" w:sz="4" w:space="0"/>
                    <w:left w:val="nil"/>
                    <w:bottom w:val="single" w:color="auto" w:sz="4" w:space="0"/>
                    <w:right w:val="single" w:color="auto" w:sz="4" w:space="0"/>
                  </w:tcBorders>
                  <w:vAlign w:val="center"/>
                </w:tcPr>
                <w:p w14:paraId="24CE8DA5">
                  <w:pPr>
                    <w:spacing w:after="0" w:line="240" w:lineRule="auto"/>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12338.0</w:t>
                  </w:r>
                </w:p>
              </w:tc>
            </w:tr>
            <w:tr w14:paraId="1950C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682" w:type="pct"/>
                  <w:tcBorders>
                    <w:top w:val="single" w:color="auto" w:sz="4" w:space="0"/>
                    <w:left w:val="single" w:color="auto" w:sz="4" w:space="0"/>
                    <w:bottom w:val="single" w:color="auto" w:sz="4" w:space="0"/>
                    <w:right w:val="single" w:color="auto" w:sz="4" w:space="0"/>
                  </w:tcBorders>
                  <w:vAlign w:val="center"/>
                </w:tcPr>
                <w:p w14:paraId="25C8C632">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2</w:t>
                  </w:r>
                </w:p>
              </w:tc>
              <w:tc>
                <w:tcPr>
                  <w:tcW w:w="980" w:type="pct"/>
                  <w:tcBorders>
                    <w:top w:val="single" w:color="auto" w:sz="4" w:space="0"/>
                    <w:left w:val="nil"/>
                    <w:bottom w:val="single" w:color="auto" w:sz="4" w:space="0"/>
                    <w:right w:val="single" w:color="auto" w:sz="4" w:space="0"/>
                  </w:tcBorders>
                  <w:vAlign w:val="center"/>
                </w:tcPr>
                <w:p w14:paraId="22683C1D">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异形芯辊</w:t>
                  </w:r>
                </w:p>
              </w:tc>
              <w:tc>
                <w:tcPr>
                  <w:tcW w:w="1307" w:type="pct"/>
                  <w:tcBorders>
                    <w:top w:val="single" w:color="auto" w:sz="4" w:space="0"/>
                    <w:left w:val="nil"/>
                    <w:bottom w:val="single" w:color="auto" w:sz="4" w:space="0"/>
                    <w:right w:val="single" w:color="auto" w:sz="4" w:space="0"/>
                  </w:tcBorders>
                  <w:vAlign w:val="center"/>
                </w:tcPr>
                <w:p w14:paraId="13D6F71C">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Φ9</w:t>
                  </w:r>
                  <w:r>
                    <w:rPr>
                      <w:rFonts w:hint="eastAsia" w:ascii="Times New Roman" w:hAnsi="Times New Roman"/>
                      <w:color w:val="000000" w:themeColor="text1"/>
                      <w:szCs w:val="20"/>
                      <w:lang w:eastAsia="zh-CN"/>
                      <w14:textFill>
                        <w14:solidFill>
                          <w14:schemeClr w14:val="tx1"/>
                        </w14:solidFill>
                      </w14:textFill>
                    </w:rPr>
                    <w:t>6</w:t>
                  </w:r>
                  <w:r>
                    <w:rPr>
                      <w:rFonts w:ascii="Times New Roman" w:hAnsi="Times New Roman"/>
                      <w:color w:val="000000" w:themeColor="text1"/>
                      <w:szCs w:val="20"/>
                      <w:lang w:eastAsia="zh-CN"/>
                      <w14:textFill>
                        <w14:solidFill>
                          <w14:schemeClr w14:val="tx1"/>
                        </w14:solidFill>
                      </w14:textFill>
                    </w:rPr>
                    <w:t>0×</w:t>
                  </w:r>
                  <w:r>
                    <w:rPr>
                      <w:rFonts w:hint="eastAsia" w:ascii="Times New Roman" w:hAnsi="Times New Roman"/>
                      <w:color w:val="000000" w:themeColor="text1"/>
                      <w:szCs w:val="20"/>
                      <w:lang w:eastAsia="zh-CN"/>
                      <w14:textFill>
                        <w14:solidFill>
                          <w14:schemeClr w14:val="tx1"/>
                        </w14:solidFill>
                      </w14:textFill>
                    </w:rPr>
                    <w:t>684</w:t>
                  </w:r>
                </w:p>
              </w:tc>
              <w:tc>
                <w:tcPr>
                  <w:tcW w:w="509" w:type="pct"/>
                  <w:tcBorders>
                    <w:top w:val="single" w:color="auto" w:sz="4" w:space="0"/>
                    <w:left w:val="nil"/>
                    <w:bottom w:val="single" w:color="auto" w:sz="4" w:space="0"/>
                    <w:right w:val="single" w:color="auto" w:sz="4" w:space="0"/>
                  </w:tcBorders>
                  <w:vAlign w:val="center"/>
                </w:tcPr>
                <w:p w14:paraId="38D2A718">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1件</w:t>
                  </w:r>
                </w:p>
              </w:tc>
              <w:tc>
                <w:tcPr>
                  <w:tcW w:w="773" w:type="pct"/>
                  <w:tcBorders>
                    <w:top w:val="single" w:color="auto" w:sz="4" w:space="0"/>
                    <w:left w:val="nil"/>
                    <w:bottom w:val="single" w:color="auto" w:sz="4" w:space="0"/>
                    <w:right w:val="single" w:color="auto" w:sz="4" w:space="0"/>
                  </w:tcBorders>
                  <w:vAlign w:val="center"/>
                </w:tcPr>
                <w:p w14:paraId="046106DC">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szCs w:val="20"/>
                      <w:lang w:eastAsia="zh-CN"/>
                    </w:rPr>
                    <w:t>5CrNiMo</w:t>
                  </w:r>
                </w:p>
              </w:tc>
              <w:tc>
                <w:tcPr>
                  <w:tcW w:w="749" w:type="pct"/>
                  <w:tcBorders>
                    <w:top w:val="single" w:color="auto" w:sz="4" w:space="0"/>
                    <w:left w:val="nil"/>
                    <w:bottom w:val="single" w:color="auto" w:sz="4" w:space="0"/>
                    <w:right w:val="single" w:color="auto" w:sz="4" w:space="0"/>
                  </w:tcBorders>
                  <w:vAlign w:val="center"/>
                </w:tcPr>
                <w:p w14:paraId="2053C413">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2156.0</w:t>
                  </w:r>
                </w:p>
              </w:tc>
            </w:tr>
          </w:tbl>
          <w:p w14:paraId="247E36B0">
            <w:pPr>
              <w:spacing w:after="0" w:line="360" w:lineRule="auto"/>
              <w:rPr>
                <w:rFonts w:ascii="Times New Roman" w:hAnsi="Times New Roman"/>
                <w:color w:val="000000" w:themeColor="text1"/>
                <w:lang w:eastAsia="zh-CN"/>
                <w14:textFill>
                  <w14:solidFill>
                    <w14:schemeClr w14:val="tx1"/>
                  </w14:solidFill>
                </w14:textFill>
              </w:rPr>
            </w:pPr>
          </w:p>
        </w:tc>
      </w:tr>
    </w:tbl>
    <w:p w14:paraId="5D6467D8">
      <w:pPr>
        <w:spacing w:after="0" w:line="360" w:lineRule="auto"/>
        <w:ind w:left="1"/>
        <w:jc w:val="center"/>
        <w:rPr>
          <w:rFonts w:ascii="Times New Roman" w:hAnsi="Times New Roman"/>
          <w:color w:val="000000" w:themeColor="text1"/>
          <w:lang w:eastAsia="zh-CN"/>
          <w14:textFill>
            <w14:solidFill>
              <w14:schemeClr w14:val="tx1"/>
            </w14:solidFill>
          </w14:textFill>
        </w:rPr>
      </w:pPr>
    </w:p>
    <w:p w14:paraId="0A3A356C">
      <w:pPr>
        <w:spacing w:after="0" w:line="360" w:lineRule="auto"/>
        <w:ind w:left="1"/>
        <w:jc w:val="center"/>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表4  工模具性能保证要求</w:t>
      </w:r>
    </w:p>
    <w:tbl>
      <w:tblPr>
        <w:tblStyle w:val="18"/>
        <w:tblW w:w="8500" w:type="dxa"/>
        <w:tblInd w:w="0" w:type="dxa"/>
        <w:tblLayout w:type="fixed"/>
        <w:tblCellMar>
          <w:top w:w="0" w:type="dxa"/>
          <w:left w:w="108" w:type="dxa"/>
          <w:bottom w:w="0" w:type="dxa"/>
          <w:right w:w="108" w:type="dxa"/>
        </w:tblCellMar>
      </w:tblPr>
      <w:tblGrid>
        <w:gridCol w:w="704"/>
        <w:gridCol w:w="1134"/>
        <w:gridCol w:w="1276"/>
        <w:gridCol w:w="5386"/>
      </w:tblGrid>
      <w:tr w14:paraId="1A5BCC3F">
        <w:tblPrEx>
          <w:tblCellMar>
            <w:top w:w="0" w:type="dxa"/>
            <w:left w:w="108" w:type="dxa"/>
            <w:bottom w:w="0" w:type="dxa"/>
            <w:right w:w="108" w:type="dxa"/>
          </w:tblCellMar>
        </w:tblPrEx>
        <w:trPr>
          <w:trHeight w:val="20" w:hRule="atLeast"/>
        </w:trPr>
        <w:tc>
          <w:tcPr>
            <w:tcW w:w="704" w:type="dxa"/>
            <w:tcBorders>
              <w:top w:val="single" w:color="auto" w:sz="4" w:space="0"/>
              <w:left w:val="single" w:color="auto" w:sz="4" w:space="0"/>
              <w:bottom w:val="single" w:color="auto" w:sz="4" w:space="0"/>
              <w:right w:val="single" w:color="auto" w:sz="4" w:space="0"/>
            </w:tcBorders>
            <w:shd w:val="clear" w:color="auto" w:fill="auto"/>
            <w:vAlign w:val="center"/>
          </w:tcPr>
          <w:p w14:paraId="7199DF64">
            <w:pPr>
              <w:spacing w:after="0" w:line="360" w:lineRule="auto"/>
              <w:ind w:left="1"/>
              <w:jc w:val="center"/>
              <w:rPr>
                <w:rFonts w:ascii="Times New Roman" w:hAnsi="Times New Roman"/>
                <w:lang w:eastAsia="zh-CN"/>
              </w:rPr>
            </w:pPr>
            <w:r>
              <w:rPr>
                <w:rFonts w:ascii="Times New Roman" w:hAnsi="Times New Roman"/>
                <w:lang w:eastAsia="zh-CN"/>
              </w:rPr>
              <w:t>序号</w:t>
            </w:r>
          </w:p>
        </w:tc>
        <w:tc>
          <w:tcPr>
            <w:tcW w:w="1134" w:type="dxa"/>
            <w:tcBorders>
              <w:top w:val="single" w:color="auto" w:sz="4" w:space="0"/>
              <w:left w:val="nil"/>
              <w:bottom w:val="single" w:color="auto" w:sz="4" w:space="0"/>
              <w:right w:val="single" w:color="auto" w:sz="4" w:space="0"/>
            </w:tcBorders>
            <w:shd w:val="clear" w:color="auto" w:fill="auto"/>
            <w:vAlign w:val="center"/>
          </w:tcPr>
          <w:p w14:paraId="371C0527">
            <w:pPr>
              <w:spacing w:after="0" w:line="360" w:lineRule="auto"/>
              <w:ind w:left="1"/>
              <w:jc w:val="center"/>
              <w:rPr>
                <w:rFonts w:ascii="Times New Roman" w:hAnsi="Times New Roman"/>
                <w:lang w:eastAsia="zh-CN"/>
              </w:rPr>
            </w:pPr>
            <w:r>
              <w:rPr>
                <w:rFonts w:ascii="Times New Roman" w:hAnsi="Times New Roman"/>
                <w:lang w:eastAsia="zh-CN"/>
              </w:rPr>
              <w:t>名称</w:t>
            </w:r>
          </w:p>
        </w:tc>
        <w:tc>
          <w:tcPr>
            <w:tcW w:w="1276" w:type="dxa"/>
            <w:tcBorders>
              <w:top w:val="single" w:color="auto" w:sz="4" w:space="0"/>
              <w:left w:val="nil"/>
              <w:bottom w:val="single" w:color="auto" w:sz="4" w:space="0"/>
              <w:right w:val="single" w:color="auto" w:sz="4" w:space="0"/>
            </w:tcBorders>
            <w:shd w:val="clear" w:color="auto" w:fill="auto"/>
            <w:vAlign w:val="center"/>
          </w:tcPr>
          <w:p w14:paraId="48FE6C87">
            <w:pPr>
              <w:spacing w:after="0" w:line="360" w:lineRule="auto"/>
              <w:ind w:left="1"/>
              <w:jc w:val="center"/>
              <w:rPr>
                <w:rFonts w:ascii="Times New Roman" w:hAnsi="Times New Roman"/>
                <w:lang w:eastAsia="zh-CN"/>
              </w:rPr>
            </w:pPr>
            <w:r>
              <w:rPr>
                <w:rFonts w:ascii="Times New Roman" w:hAnsi="Times New Roman"/>
                <w:lang w:eastAsia="zh-CN"/>
              </w:rPr>
              <w:t>材质</w:t>
            </w:r>
          </w:p>
        </w:tc>
        <w:tc>
          <w:tcPr>
            <w:tcW w:w="5386" w:type="dxa"/>
            <w:tcBorders>
              <w:top w:val="single" w:color="auto" w:sz="4" w:space="0"/>
              <w:left w:val="nil"/>
              <w:bottom w:val="single" w:color="auto" w:sz="4" w:space="0"/>
              <w:right w:val="single" w:color="auto" w:sz="4" w:space="0"/>
            </w:tcBorders>
            <w:shd w:val="clear" w:color="auto" w:fill="auto"/>
            <w:vAlign w:val="center"/>
          </w:tcPr>
          <w:p w14:paraId="63965C32">
            <w:pPr>
              <w:spacing w:after="0" w:line="360" w:lineRule="auto"/>
              <w:ind w:left="1"/>
              <w:jc w:val="center"/>
              <w:rPr>
                <w:rFonts w:ascii="Times New Roman" w:hAnsi="Times New Roman"/>
                <w:lang w:eastAsia="zh-CN"/>
              </w:rPr>
            </w:pPr>
            <w:r>
              <w:rPr>
                <w:rFonts w:ascii="Times New Roman" w:hAnsi="Times New Roman"/>
                <w:lang w:eastAsia="zh-CN"/>
              </w:rPr>
              <w:t>性能保证</w:t>
            </w:r>
          </w:p>
        </w:tc>
      </w:tr>
      <w:tr w14:paraId="3DE5A561">
        <w:tblPrEx>
          <w:tblCellMar>
            <w:top w:w="0" w:type="dxa"/>
            <w:left w:w="108" w:type="dxa"/>
            <w:bottom w:w="0" w:type="dxa"/>
            <w:right w:w="108" w:type="dxa"/>
          </w:tblCellMar>
        </w:tblPrEx>
        <w:trPr>
          <w:trHeight w:val="3553" w:hRule="atLeast"/>
        </w:trPr>
        <w:tc>
          <w:tcPr>
            <w:tcW w:w="704" w:type="dxa"/>
            <w:tcBorders>
              <w:top w:val="nil"/>
              <w:left w:val="single" w:color="auto" w:sz="4" w:space="0"/>
              <w:bottom w:val="single" w:color="auto" w:sz="4" w:space="0"/>
              <w:right w:val="single" w:color="auto" w:sz="4" w:space="0"/>
            </w:tcBorders>
            <w:shd w:val="clear" w:color="auto" w:fill="auto"/>
            <w:vAlign w:val="center"/>
          </w:tcPr>
          <w:p w14:paraId="4EB75DCF">
            <w:pPr>
              <w:spacing w:after="0" w:line="360" w:lineRule="auto"/>
              <w:ind w:left="1"/>
              <w:jc w:val="center"/>
              <w:rPr>
                <w:rFonts w:ascii="Times New Roman" w:hAnsi="Times New Roman"/>
                <w:b/>
                <w:bCs/>
                <w:lang w:eastAsia="zh-CN"/>
              </w:rPr>
            </w:pPr>
            <w:r>
              <w:rPr>
                <w:rFonts w:ascii="Times New Roman" w:hAnsi="Times New Roman"/>
                <w:b/>
                <w:bCs/>
                <w:lang w:eastAsia="zh-CN"/>
              </w:rPr>
              <w:t>1</w:t>
            </w:r>
          </w:p>
        </w:tc>
        <w:tc>
          <w:tcPr>
            <w:tcW w:w="1134" w:type="dxa"/>
            <w:tcBorders>
              <w:top w:val="nil"/>
              <w:left w:val="nil"/>
              <w:bottom w:val="single" w:color="auto" w:sz="4" w:space="0"/>
              <w:right w:val="single" w:color="auto" w:sz="4" w:space="0"/>
            </w:tcBorders>
            <w:shd w:val="clear" w:color="auto" w:fill="auto"/>
            <w:vAlign w:val="center"/>
          </w:tcPr>
          <w:p w14:paraId="6B96AEA1">
            <w:pPr>
              <w:spacing w:after="0" w:line="240" w:lineRule="auto"/>
              <w:jc w:val="center"/>
              <w:rPr>
                <w:rFonts w:ascii="Times New Roman" w:hAnsi="Times New Roman"/>
                <w:lang w:eastAsia="zh-CN"/>
              </w:rPr>
            </w:pPr>
            <w:r>
              <w:rPr>
                <w:rFonts w:ascii="Times New Roman" w:hAnsi="Times New Roman"/>
                <w:color w:val="000000" w:themeColor="text1"/>
                <w:szCs w:val="20"/>
                <w:lang w:eastAsia="zh-CN"/>
                <w14:textFill>
                  <w14:solidFill>
                    <w14:schemeClr w14:val="tx1"/>
                  </w14:solidFill>
                </w14:textFill>
              </w:rPr>
              <w:t>环模</w:t>
            </w:r>
          </w:p>
        </w:tc>
        <w:tc>
          <w:tcPr>
            <w:tcW w:w="1276" w:type="dxa"/>
            <w:tcBorders>
              <w:top w:val="nil"/>
              <w:left w:val="nil"/>
              <w:bottom w:val="single" w:color="auto" w:sz="4" w:space="0"/>
              <w:right w:val="single" w:color="auto" w:sz="4" w:space="0"/>
            </w:tcBorders>
            <w:shd w:val="clear" w:color="auto" w:fill="auto"/>
            <w:vAlign w:val="center"/>
          </w:tcPr>
          <w:p w14:paraId="0EB64DED">
            <w:pPr>
              <w:spacing w:after="0" w:line="360" w:lineRule="auto"/>
              <w:ind w:left="1"/>
              <w:jc w:val="center"/>
              <w:rPr>
                <w:rFonts w:ascii="Times New Roman" w:hAnsi="Times New Roman"/>
                <w:lang w:eastAsia="zh-CN"/>
              </w:rPr>
            </w:pPr>
            <w:r>
              <w:rPr>
                <w:rFonts w:ascii="Times New Roman" w:hAnsi="Times New Roman"/>
                <w:lang w:eastAsia="zh-CN"/>
              </w:rPr>
              <w:t>5CrNiMo</w:t>
            </w:r>
          </w:p>
        </w:tc>
        <w:tc>
          <w:tcPr>
            <w:tcW w:w="5386" w:type="dxa"/>
            <w:tcBorders>
              <w:top w:val="nil"/>
              <w:left w:val="nil"/>
              <w:bottom w:val="single" w:color="auto" w:sz="4" w:space="0"/>
              <w:right w:val="single" w:color="auto" w:sz="4" w:space="0"/>
            </w:tcBorders>
            <w:shd w:val="clear" w:color="auto" w:fill="auto"/>
            <w:vAlign w:val="center"/>
          </w:tcPr>
          <w:p w14:paraId="27AE9587">
            <w:pPr>
              <w:spacing w:after="0" w:line="240" w:lineRule="auto"/>
              <w:rPr>
                <w:rFonts w:ascii="Times New Roman" w:hAnsi="Times New Roman"/>
                <w:lang w:eastAsia="zh-CN"/>
              </w:rPr>
            </w:pPr>
            <w:r>
              <w:rPr>
                <w:rFonts w:ascii="Times New Roman" w:hAnsi="Times New Roman"/>
                <w:color w:val="FF0000"/>
                <w:lang w:eastAsia="zh-CN"/>
              </w:rPr>
              <w:t>1.</w:t>
            </w:r>
            <w:r>
              <w:rPr>
                <w:rFonts w:ascii="Times New Roman" w:hAnsi="Times New Roman"/>
                <w:lang w:eastAsia="zh-CN"/>
              </w:rPr>
              <w:t xml:space="preserve"> 锻件不允许有白点、裂纹、夹杂、疏松等影响强度的缺陷，锻件按合金工具钢GB/T 1299标准验收；</w:t>
            </w:r>
          </w:p>
          <w:p w14:paraId="6FAB2120">
            <w:pPr>
              <w:spacing w:after="0" w:line="240" w:lineRule="auto"/>
              <w:rPr>
                <w:rFonts w:ascii="Times New Roman" w:hAnsi="Times New Roman"/>
                <w:lang w:eastAsia="zh-CN"/>
              </w:rPr>
            </w:pPr>
            <w:r>
              <w:rPr>
                <w:rFonts w:ascii="Times New Roman" w:hAnsi="Times New Roman"/>
                <w:color w:val="FF0000"/>
                <w:lang w:eastAsia="zh-CN"/>
              </w:rPr>
              <w:t xml:space="preserve">2. </w:t>
            </w:r>
            <w:r>
              <w:rPr>
                <w:rFonts w:ascii="Times New Roman" w:hAnsi="Times New Roman"/>
                <w:lang w:eastAsia="zh-CN"/>
              </w:rPr>
              <w:t>调质热处理后整体硬度均匀，表面硬度</w:t>
            </w:r>
            <w:r>
              <w:rPr>
                <w:rFonts w:hint="eastAsia" w:ascii="Times New Roman" w:hAnsi="Times New Roman"/>
                <w:lang w:eastAsia="zh-CN"/>
              </w:rPr>
              <w:t>40</w:t>
            </w:r>
            <w:r>
              <w:rPr>
                <w:rFonts w:ascii="Times New Roman" w:hAnsi="Times New Roman"/>
                <w:lang w:eastAsia="zh-CN"/>
              </w:rPr>
              <w:t>~4</w:t>
            </w:r>
            <w:r>
              <w:rPr>
                <w:rFonts w:hint="eastAsia" w:ascii="Times New Roman" w:hAnsi="Times New Roman"/>
                <w:lang w:eastAsia="zh-CN"/>
              </w:rPr>
              <w:t>4</w:t>
            </w:r>
            <w:r>
              <w:rPr>
                <w:rFonts w:ascii="Times New Roman" w:hAnsi="Times New Roman"/>
                <w:lang w:eastAsia="zh-CN"/>
              </w:rPr>
              <w:t>HRC；</w:t>
            </w:r>
          </w:p>
          <w:p w14:paraId="1322B49A">
            <w:pPr>
              <w:spacing w:after="0" w:line="240" w:lineRule="auto"/>
              <w:rPr>
                <w:rFonts w:ascii="Times New Roman" w:hAnsi="Times New Roman"/>
                <w:lang w:eastAsia="zh-CN"/>
              </w:rPr>
            </w:pPr>
            <w:r>
              <w:rPr>
                <w:rFonts w:ascii="Times New Roman" w:hAnsi="Times New Roman"/>
                <w:color w:val="FF0000"/>
                <w:lang w:eastAsia="zh-CN"/>
              </w:rPr>
              <w:t>3.</w:t>
            </w:r>
            <w:r>
              <w:rPr>
                <w:rFonts w:ascii="Times New Roman" w:hAnsi="Times New Roman"/>
                <w:lang w:eastAsia="zh-CN"/>
              </w:rPr>
              <w:t xml:space="preserve"> 按三维模型加工，未注倒角为C2，圆角为R2；</w:t>
            </w:r>
          </w:p>
          <w:p w14:paraId="357721AE">
            <w:pPr>
              <w:spacing w:after="0" w:line="240" w:lineRule="auto"/>
              <w:rPr>
                <w:rFonts w:ascii="Times New Roman" w:hAnsi="Times New Roman"/>
                <w:lang w:eastAsia="zh-CN"/>
              </w:rPr>
            </w:pPr>
            <w:r>
              <w:rPr>
                <w:rFonts w:ascii="Times New Roman" w:hAnsi="Times New Roman"/>
                <w:lang w:eastAsia="zh-CN"/>
              </w:rPr>
              <w:t>4. 环模工作型腔表面粗糙度Ra≤</w:t>
            </w:r>
            <w:r>
              <w:rPr>
                <w:rFonts w:hint="eastAsia" w:ascii="Times New Roman" w:hAnsi="Times New Roman"/>
                <w:lang w:eastAsia="zh-CN"/>
              </w:rPr>
              <w:t>1.6</w:t>
            </w:r>
            <w:r>
              <w:rPr>
                <w:rFonts w:ascii="Times New Roman" w:hAnsi="Times New Roman"/>
                <w:lang w:eastAsia="zh-CN"/>
              </w:rPr>
              <w:t>μm，非工作表面粗糙度Ra≤3.2μm；</w:t>
            </w:r>
          </w:p>
          <w:p w14:paraId="3653F0B8">
            <w:pPr>
              <w:spacing w:after="0" w:line="240" w:lineRule="auto"/>
              <w:rPr>
                <w:rFonts w:ascii="Times New Roman" w:hAnsi="Times New Roman"/>
                <w:lang w:eastAsia="zh-CN"/>
              </w:rPr>
            </w:pPr>
            <w:r>
              <w:rPr>
                <w:rFonts w:ascii="Times New Roman" w:hAnsi="Times New Roman"/>
                <w:lang w:eastAsia="zh-CN"/>
              </w:rPr>
              <w:t>5. 环模整体具有足够刚度，在500℃高温及环轧载荷作用下不易发生永久变形；</w:t>
            </w:r>
          </w:p>
          <w:p w14:paraId="02D84542">
            <w:pPr>
              <w:spacing w:after="0" w:line="240" w:lineRule="auto"/>
              <w:rPr>
                <w:rFonts w:ascii="Times New Roman" w:hAnsi="Times New Roman"/>
                <w:lang w:eastAsia="zh-CN"/>
              </w:rPr>
            </w:pPr>
            <w:r>
              <w:rPr>
                <w:rFonts w:ascii="Times New Roman" w:hAnsi="Times New Roman"/>
                <w:lang w:eastAsia="zh-CN"/>
              </w:rPr>
              <w:t>6. 严格按图纸保证环模内径、外径及关键型面尺寸公差。</w:t>
            </w:r>
          </w:p>
        </w:tc>
      </w:tr>
      <w:tr w14:paraId="2D73F131">
        <w:tblPrEx>
          <w:tblCellMar>
            <w:top w:w="0" w:type="dxa"/>
            <w:left w:w="108" w:type="dxa"/>
            <w:bottom w:w="0" w:type="dxa"/>
            <w:right w:w="108" w:type="dxa"/>
          </w:tblCellMar>
        </w:tblPrEx>
        <w:trPr>
          <w:trHeight w:val="2094" w:hRule="atLeast"/>
        </w:trPr>
        <w:tc>
          <w:tcPr>
            <w:tcW w:w="704" w:type="dxa"/>
            <w:tcBorders>
              <w:top w:val="nil"/>
              <w:left w:val="single" w:color="auto" w:sz="4" w:space="0"/>
              <w:bottom w:val="single" w:color="auto" w:sz="4" w:space="0"/>
              <w:right w:val="single" w:color="auto" w:sz="4" w:space="0"/>
            </w:tcBorders>
            <w:shd w:val="clear" w:color="auto" w:fill="auto"/>
            <w:vAlign w:val="center"/>
          </w:tcPr>
          <w:p w14:paraId="4E40D73C">
            <w:pPr>
              <w:spacing w:after="0" w:line="360" w:lineRule="auto"/>
              <w:ind w:left="1"/>
              <w:jc w:val="center"/>
              <w:rPr>
                <w:rFonts w:ascii="Times New Roman" w:hAnsi="Times New Roman"/>
                <w:b/>
                <w:bCs/>
                <w:lang w:eastAsia="zh-CN"/>
              </w:rPr>
            </w:pPr>
            <w:r>
              <w:rPr>
                <w:rFonts w:ascii="Times New Roman" w:hAnsi="Times New Roman"/>
                <w:b/>
                <w:bCs/>
                <w:lang w:eastAsia="zh-CN"/>
              </w:rPr>
              <w:t>2</w:t>
            </w:r>
          </w:p>
        </w:tc>
        <w:tc>
          <w:tcPr>
            <w:tcW w:w="1134" w:type="dxa"/>
            <w:tcBorders>
              <w:top w:val="nil"/>
              <w:left w:val="nil"/>
              <w:bottom w:val="single" w:color="auto" w:sz="4" w:space="0"/>
              <w:right w:val="single" w:color="auto" w:sz="4" w:space="0"/>
            </w:tcBorders>
            <w:shd w:val="clear" w:color="auto" w:fill="auto"/>
            <w:vAlign w:val="center"/>
          </w:tcPr>
          <w:p w14:paraId="288DF2CA">
            <w:pPr>
              <w:spacing w:after="0" w:line="240" w:lineRule="auto"/>
              <w:jc w:val="center"/>
              <w:rPr>
                <w:rFonts w:ascii="Times New Roman" w:hAnsi="Times New Roman"/>
                <w:lang w:eastAsia="zh-CN"/>
              </w:rPr>
            </w:pPr>
            <w:r>
              <w:rPr>
                <w:rFonts w:ascii="Times New Roman" w:hAnsi="Times New Roman"/>
                <w:color w:val="000000" w:themeColor="text1"/>
                <w:szCs w:val="20"/>
                <w:lang w:eastAsia="zh-CN"/>
                <w14:textFill>
                  <w14:solidFill>
                    <w14:schemeClr w14:val="tx1"/>
                  </w14:solidFill>
                </w14:textFill>
              </w:rPr>
              <w:t>异形芯辊</w:t>
            </w:r>
          </w:p>
        </w:tc>
        <w:tc>
          <w:tcPr>
            <w:tcW w:w="1276" w:type="dxa"/>
            <w:tcBorders>
              <w:top w:val="nil"/>
              <w:left w:val="nil"/>
              <w:bottom w:val="single" w:color="auto" w:sz="4" w:space="0"/>
              <w:right w:val="single" w:color="auto" w:sz="4" w:space="0"/>
            </w:tcBorders>
            <w:shd w:val="clear" w:color="auto" w:fill="auto"/>
            <w:vAlign w:val="center"/>
          </w:tcPr>
          <w:p w14:paraId="68A7E8A0">
            <w:pPr>
              <w:spacing w:after="0" w:line="360" w:lineRule="auto"/>
              <w:ind w:left="1"/>
              <w:jc w:val="center"/>
              <w:rPr>
                <w:rFonts w:ascii="Times New Roman" w:hAnsi="Times New Roman"/>
                <w:lang w:eastAsia="zh-CN"/>
              </w:rPr>
            </w:pPr>
            <w:r>
              <w:rPr>
                <w:rFonts w:ascii="Times New Roman" w:hAnsi="Times New Roman"/>
                <w:lang w:eastAsia="zh-CN"/>
              </w:rPr>
              <w:t>5CrNiMo</w:t>
            </w:r>
          </w:p>
        </w:tc>
        <w:tc>
          <w:tcPr>
            <w:tcW w:w="5386" w:type="dxa"/>
            <w:tcBorders>
              <w:top w:val="nil"/>
              <w:left w:val="nil"/>
              <w:bottom w:val="single" w:color="auto" w:sz="4" w:space="0"/>
              <w:right w:val="single" w:color="auto" w:sz="4" w:space="0"/>
            </w:tcBorders>
            <w:shd w:val="clear" w:color="auto" w:fill="auto"/>
            <w:vAlign w:val="center"/>
          </w:tcPr>
          <w:p w14:paraId="3B1BACDF">
            <w:pPr>
              <w:spacing w:after="0" w:line="240" w:lineRule="auto"/>
              <w:rPr>
                <w:rFonts w:ascii="Times New Roman" w:hAnsi="Times New Roman"/>
                <w:lang w:eastAsia="zh-CN"/>
              </w:rPr>
            </w:pPr>
            <w:r>
              <w:rPr>
                <w:rFonts w:ascii="Times New Roman" w:hAnsi="Times New Roman"/>
                <w:color w:val="FF0000"/>
                <w:lang w:eastAsia="zh-CN"/>
              </w:rPr>
              <w:t xml:space="preserve">1. </w:t>
            </w:r>
            <w:r>
              <w:rPr>
                <w:rFonts w:ascii="Times New Roman" w:hAnsi="Times New Roman"/>
                <w:lang w:eastAsia="zh-CN"/>
              </w:rPr>
              <w:t>锻件不允许有白点、裂纹、夹杂、疏松等影响强度的缺陷，锻件按合金工具钢GB/T 1299标准验收；</w:t>
            </w:r>
          </w:p>
          <w:p w14:paraId="2FC3BDA1">
            <w:pPr>
              <w:spacing w:after="0" w:line="240" w:lineRule="auto"/>
              <w:rPr>
                <w:rFonts w:ascii="Times New Roman" w:hAnsi="Times New Roman"/>
                <w:lang w:eastAsia="zh-CN"/>
              </w:rPr>
            </w:pPr>
            <w:r>
              <w:rPr>
                <w:rFonts w:ascii="Times New Roman" w:hAnsi="Times New Roman"/>
                <w:color w:val="FF0000"/>
                <w:lang w:eastAsia="zh-CN"/>
              </w:rPr>
              <w:t>2.</w:t>
            </w:r>
            <w:r>
              <w:rPr>
                <w:rFonts w:ascii="Times New Roman" w:hAnsi="Times New Roman"/>
                <w:lang w:eastAsia="zh-CN"/>
              </w:rPr>
              <w:t xml:space="preserve"> 调质热处理后整体硬度均匀，表面硬度</w:t>
            </w:r>
            <w:r>
              <w:rPr>
                <w:rFonts w:hint="eastAsia" w:ascii="Times New Roman" w:hAnsi="Times New Roman"/>
                <w:lang w:eastAsia="zh-CN"/>
              </w:rPr>
              <w:t>40</w:t>
            </w:r>
            <w:r>
              <w:rPr>
                <w:rFonts w:ascii="Times New Roman" w:hAnsi="Times New Roman"/>
                <w:lang w:eastAsia="zh-CN"/>
              </w:rPr>
              <w:t>~4</w:t>
            </w:r>
            <w:r>
              <w:rPr>
                <w:rFonts w:hint="eastAsia" w:ascii="Times New Roman" w:hAnsi="Times New Roman"/>
                <w:lang w:eastAsia="zh-CN"/>
              </w:rPr>
              <w:t>4</w:t>
            </w:r>
            <w:r>
              <w:rPr>
                <w:rFonts w:ascii="Times New Roman" w:hAnsi="Times New Roman"/>
                <w:lang w:eastAsia="zh-CN"/>
              </w:rPr>
              <w:t>HRC，具有良好红硬性；</w:t>
            </w:r>
          </w:p>
          <w:p w14:paraId="034EA26F">
            <w:pPr>
              <w:spacing w:after="0" w:line="240" w:lineRule="auto"/>
              <w:rPr>
                <w:rFonts w:ascii="Times New Roman" w:hAnsi="Times New Roman"/>
                <w:lang w:eastAsia="zh-CN"/>
              </w:rPr>
            </w:pPr>
            <w:r>
              <w:rPr>
                <w:rFonts w:ascii="Times New Roman" w:hAnsi="Times New Roman"/>
                <w:color w:val="FF0000"/>
                <w:lang w:eastAsia="zh-CN"/>
              </w:rPr>
              <w:t>3.</w:t>
            </w:r>
            <w:r>
              <w:rPr>
                <w:rFonts w:ascii="Times New Roman" w:hAnsi="Times New Roman"/>
                <w:lang w:eastAsia="zh-CN"/>
              </w:rPr>
              <w:t xml:space="preserve"> 按三维模型加工，未注倒角为C2，圆角为R2；</w:t>
            </w:r>
          </w:p>
          <w:p w14:paraId="7ABA20BC">
            <w:pPr>
              <w:spacing w:after="0" w:line="240" w:lineRule="auto"/>
              <w:rPr>
                <w:rFonts w:ascii="Times New Roman" w:hAnsi="Times New Roman"/>
                <w:lang w:eastAsia="zh-CN"/>
              </w:rPr>
            </w:pPr>
            <w:r>
              <w:rPr>
                <w:rFonts w:ascii="Times New Roman" w:hAnsi="Times New Roman"/>
                <w:lang w:eastAsia="zh-CN"/>
              </w:rPr>
              <w:t>4. 芯辊异形工作表面粗糙度Ra≤</w:t>
            </w:r>
            <w:r>
              <w:rPr>
                <w:rFonts w:hint="eastAsia" w:ascii="Times New Roman" w:hAnsi="Times New Roman"/>
                <w:lang w:eastAsia="zh-CN"/>
              </w:rPr>
              <w:t>1.6</w:t>
            </w:r>
            <w:r>
              <w:rPr>
                <w:rFonts w:ascii="Times New Roman" w:hAnsi="Times New Roman"/>
                <w:lang w:eastAsia="zh-CN"/>
              </w:rPr>
              <w:t>μm，非工作表面粗糙度Ra≤3.2μm；</w:t>
            </w:r>
          </w:p>
          <w:p w14:paraId="5186D724">
            <w:pPr>
              <w:spacing w:after="0" w:line="240" w:lineRule="auto"/>
              <w:rPr>
                <w:rFonts w:ascii="Times New Roman" w:hAnsi="Times New Roman"/>
                <w:lang w:eastAsia="zh-CN"/>
              </w:rPr>
            </w:pPr>
            <w:r>
              <w:rPr>
                <w:rFonts w:ascii="Times New Roman" w:hAnsi="Times New Roman"/>
                <w:lang w:eastAsia="zh-CN"/>
              </w:rPr>
              <w:t>5. 芯辊具有足够刚度和强度，在500℃高温及环轧接触应力作用下不易发生弯曲或永久变形，保证内型面成形精度；</w:t>
            </w:r>
          </w:p>
          <w:p w14:paraId="0C9439A4">
            <w:pPr>
              <w:spacing w:after="0" w:line="240" w:lineRule="auto"/>
              <w:ind w:left="1"/>
              <w:rPr>
                <w:rFonts w:ascii="Times New Roman" w:hAnsi="Times New Roman"/>
                <w:lang w:eastAsia="zh-CN"/>
              </w:rPr>
            </w:pPr>
            <w:r>
              <w:rPr>
                <w:rFonts w:ascii="Times New Roman" w:hAnsi="Times New Roman"/>
                <w:lang w:eastAsia="zh-CN"/>
              </w:rPr>
              <w:t>6. 严格按图纸保证芯辊外径、异形型面及安装配合部位尺寸公差。</w:t>
            </w:r>
          </w:p>
        </w:tc>
      </w:tr>
    </w:tbl>
    <w:p w14:paraId="108A3F25">
      <w:pPr>
        <w:spacing w:after="0" w:line="360" w:lineRule="auto"/>
        <w:rPr>
          <w:rFonts w:ascii="Times New Roman" w:hAnsi="Times New Roman"/>
          <w:b/>
          <w:lang w:eastAsia="zh-CN"/>
        </w:rPr>
      </w:pPr>
      <w:bookmarkStart w:id="24" w:name="_Toc316027372"/>
      <w:bookmarkStart w:id="25" w:name="_Toc123224977"/>
      <w:bookmarkStart w:id="26" w:name="_Toc493246080"/>
      <w:bookmarkStart w:id="27" w:name="_Toc468367277"/>
      <w:bookmarkStart w:id="28" w:name="_Toc493239916"/>
      <w:r>
        <w:rPr>
          <w:rFonts w:ascii="Times New Roman" w:hAnsi="Times New Roman"/>
          <w:b/>
          <w:lang w:eastAsia="zh-CN"/>
        </w:rPr>
        <w:t>第六节、乙方供货工模具的质量控制标准</w:t>
      </w:r>
      <w:bookmarkEnd w:id="24"/>
      <w:bookmarkEnd w:id="25"/>
      <w:bookmarkEnd w:id="26"/>
      <w:bookmarkEnd w:id="27"/>
      <w:bookmarkEnd w:id="28"/>
    </w:p>
    <w:p w14:paraId="22A538EC">
      <w:pPr>
        <w:spacing w:after="0" w:line="360" w:lineRule="auto"/>
        <w:rPr>
          <w:rFonts w:ascii="Times New Roman" w:hAnsi="Times New Roman"/>
          <w:lang w:eastAsia="zh-CN"/>
        </w:rPr>
      </w:pPr>
      <w:r>
        <w:rPr>
          <w:rFonts w:ascii="Times New Roman" w:hAnsi="Times New Roman"/>
          <w:lang w:eastAsia="zh-CN"/>
        </w:rPr>
        <w:t>采用的工艺规范、标准如下（包含但不限于）：</w:t>
      </w:r>
    </w:p>
    <w:p w14:paraId="37857E57">
      <w:pPr>
        <w:spacing w:after="0" w:line="360" w:lineRule="auto"/>
        <w:ind w:left="1"/>
        <w:rPr>
          <w:rFonts w:ascii="Times New Roman" w:hAnsi="Times New Roman"/>
          <w:lang w:eastAsia="zh-CN"/>
        </w:rPr>
      </w:pPr>
      <w:r>
        <w:rPr>
          <w:rFonts w:ascii="Times New Roman" w:hAnsi="Times New Roman"/>
          <w:lang w:eastAsia="zh-CN"/>
        </w:rPr>
        <w:t>（1）《工模具钢》                                GB/T 1299</w:t>
      </w:r>
    </w:p>
    <w:p w14:paraId="174CA9D2">
      <w:pPr>
        <w:spacing w:after="0" w:line="360" w:lineRule="auto"/>
        <w:ind w:left="1"/>
        <w:rPr>
          <w:rFonts w:ascii="Times New Roman" w:hAnsi="Times New Roman"/>
          <w:lang w:eastAsia="zh-CN"/>
        </w:rPr>
      </w:pPr>
      <w:r>
        <w:rPr>
          <w:rFonts w:ascii="Times New Roman" w:hAnsi="Times New Roman"/>
          <w:lang w:eastAsia="zh-CN"/>
        </w:rPr>
        <w:t>（2）《大型低合金钢铸件》                        JB/T 6402</w:t>
      </w:r>
    </w:p>
    <w:p w14:paraId="731BAB70">
      <w:pPr>
        <w:spacing w:after="0" w:line="360" w:lineRule="auto"/>
        <w:ind w:left="1"/>
        <w:rPr>
          <w:rFonts w:ascii="Times New Roman" w:hAnsi="Times New Roman"/>
          <w:lang w:eastAsia="zh-CN"/>
        </w:rPr>
      </w:pPr>
      <w:r>
        <w:rPr>
          <w:rFonts w:ascii="Times New Roman" w:hAnsi="Times New Roman"/>
          <w:lang w:eastAsia="zh-CN"/>
        </w:rPr>
        <w:t>（3）《金属材料室温拉伸试验方法》                GB/T 228</w:t>
      </w:r>
    </w:p>
    <w:p w14:paraId="078CD2D7">
      <w:pPr>
        <w:spacing w:after="0" w:line="360" w:lineRule="auto"/>
        <w:ind w:left="1"/>
        <w:rPr>
          <w:rFonts w:ascii="Times New Roman" w:hAnsi="Times New Roman"/>
          <w:lang w:eastAsia="zh-CN"/>
        </w:rPr>
      </w:pPr>
      <w:r>
        <w:rPr>
          <w:rFonts w:ascii="Times New Roman" w:hAnsi="Times New Roman"/>
          <w:lang w:eastAsia="zh-CN"/>
        </w:rPr>
        <w:t>（4）《钢锻件超声检测方法》                      GB/T 6402</w:t>
      </w:r>
    </w:p>
    <w:p w14:paraId="3681775B">
      <w:pPr>
        <w:spacing w:after="0" w:line="360" w:lineRule="auto"/>
        <w:ind w:left="1"/>
        <w:rPr>
          <w:rFonts w:ascii="Times New Roman" w:hAnsi="Times New Roman"/>
          <w:lang w:eastAsia="zh-CN"/>
        </w:rPr>
      </w:pPr>
      <w:r>
        <w:rPr>
          <w:rFonts w:ascii="Times New Roman" w:hAnsi="Times New Roman"/>
          <w:lang w:eastAsia="zh-CN"/>
        </w:rPr>
        <w:t>（5）《钢的成品化学成分允许偏差》                GB/T 222</w:t>
      </w:r>
    </w:p>
    <w:p w14:paraId="1FCCADDC">
      <w:pPr>
        <w:spacing w:after="0" w:line="360" w:lineRule="auto"/>
        <w:ind w:left="1"/>
        <w:rPr>
          <w:rFonts w:ascii="Times New Roman" w:hAnsi="Times New Roman"/>
          <w:lang w:eastAsia="zh-CN"/>
        </w:rPr>
      </w:pPr>
      <w:r>
        <w:rPr>
          <w:rFonts w:ascii="Times New Roman" w:hAnsi="Times New Roman"/>
          <w:lang w:eastAsia="zh-CN"/>
        </w:rPr>
        <w:t>（6）《重型机械通用技术条件》                    JB/T 5000</w:t>
      </w:r>
    </w:p>
    <w:p w14:paraId="0A36958F">
      <w:pPr>
        <w:spacing w:after="0" w:line="360" w:lineRule="auto"/>
        <w:ind w:left="1"/>
        <w:rPr>
          <w:rFonts w:ascii="Times New Roman" w:hAnsi="Times New Roman"/>
          <w:lang w:eastAsia="zh-CN"/>
        </w:rPr>
      </w:pPr>
      <w:r>
        <w:rPr>
          <w:rFonts w:ascii="Times New Roman" w:hAnsi="Times New Roman"/>
          <w:lang w:eastAsia="zh-CN"/>
        </w:rPr>
        <w:t>（7）《冶金设备制造通用技术条件》                YB/T 036</w:t>
      </w:r>
    </w:p>
    <w:p w14:paraId="6B14511C">
      <w:pPr>
        <w:spacing w:after="0" w:line="360" w:lineRule="auto"/>
        <w:ind w:left="1"/>
        <w:rPr>
          <w:rFonts w:ascii="Times New Roman" w:hAnsi="Times New Roman"/>
          <w:lang w:eastAsia="zh-CN"/>
        </w:rPr>
      </w:pPr>
      <w:r>
        <w:rPr>
          <w:rFonts w:ascii="Times New Roman" w:hAnsi="Times New Roman"/>
          <w:lang w:eastAsia="zh-CN"/>
        </w:rPr>
        <w:t>（8）《金属切削机床 机械加工件通用技术条件》     GB/T 25376</w:t>
      </w:r>
    </w:p>
    <w:p w14:paraId="057887ED">
      <w:pPr>
        <w:spacing w:after="0" w:line="360" w:lineRule="auto"/>
        <w:ind w:left="1"/>
        <w:rPr>
          <w:rFonts w:ascii="Times New Roman" w:hAnsi="Times New Roman"/>
          <w:lang w:eastAsia="zh-CN"/>
        </w:rPr>
      </w:pPr>
      <w:r>
        <w:rPr>
          <w:rFonts w:ascii="Times New Roman" w:hAnsi="Times New Roman"/>
          <w:lang w:eastAsia="zh-CN"/>
        </w:rPr>
        <w:t>（9）《热作模具钢热疲劳试验方法》               GB/T 15824</w:t>
      </w:r>
    </w:p>
    <w:p w14:paraId="7C03402C">
      <w:pPr>
        <w:spacing w:after="0" w:line="360" w:lineRule="auto"/>
        <w:ind w:left="1"/>
        <w:rPr>
          <w:rFonts w:ascii="Times New Roman" w:hAnsi="Times New Roman"/>
          <w:lang w:eastAsia="zh-CN"/>
        </w:rPr>
      </w:pPr>
      <w:r>
        <w:rPr>
          <w:rFonts w:ascii="Times New Roman" w:hAnsi="Times New Roman"/>
          <w:lang w:eastAsia="zh-CN"/>
        </w:rPr>
        <w:t>（10）《热作模具钢显微组织评级》                 JB/T 8420</w:t>
      </w:r>
    </w:p>
    <w:p w14:paraId="23C1D737">
      <w:pPr>
        <w:spacing w:after="0" w:line="360" w:lineRule="auto"/>
        <w:ind w:left="1"/>
        <w:rPr>
          <w:rFonts w:ascii="Times New Roman" w:hAnsi="Times New Roman"/>
          <w:lang w:eastAsia="zh-CN"/>
        </w:rPr>
      </w:pPr>
      <w:r>
        <w:rPr>
          <w:rFonts w:ascii="Times New Roman" w:hAnsi="Times New Roman"/>
          <w:lang w:eastAsia="zh-CN"/>
        </w:rPr>
        <w:t>（11）《热锻成形模具钢及其热处理技术条件》       JB/T 8431</w:t>
      </w:r>
    </w:p>
    <w:p w14:paraId="5E6A1CF0">
      <w:pPr>
        <w:spacing w:after="0" w:line="360" w:lineRule="auto"/>
        <w:ind w:left="1"/>
        <w:rPr>
          <w:rFonts w:ascii="Times New Roman" w:hAnsi="Times New Roman"/>
          <w:lang w:eastAsia="zh-CN"/>
        </w:rPr>
      </w:pPr>
      <w:r>
        <w:rPr>
          <w:rFonts w:ascii="Times New Roman" w:hAnsi="Times New Roman"/>
          <w:lang w:eastAsia="zh-CN"/>
        </w:rPr>
        <w:t>（12）《优质合金模具钢》                         GB/T 24594</w:t>
      </w:r>
    </w:p>
    <w:p w14:paraId="6A60B4A5">
      <w:pPr>
        <w:spacing w:after="0" w:line="360" w:lineRule="auto"/>
        <w:ind w:left="1"/>
        <w:rPr>
          <w:rFonts w:ascii="Times New Roman" w:hAnsi="Times New Roman"/>
          <w:lang w:eastAsia="zh-CN"/>
        </w:rPr>
        <w:sectPr>
          <w:pgSz w:w="11906" w:h="16838"/>
          <w:pgMar w:top="1440" w:right="1800" w:bottom="1440" w:left="1800" w:header="851" w:footer="992" w:gutter="0"/>
          <w:cols w:space="425" w:num="1"/>
          <w:docGrid w:type="lines" w:linePitch="312" w:charSpace="0"/>
        </w:sectPr>
      </w:pPr>
      <w:r>
        <w:rPr>
          <w:rFonts w:ascii="Times New Roman" w:hAnsi="Times New Roman"/>
          <w:lang w:eastAsia="zh-CN"/>
        </w:rPr>
        <w:t>以上标准和规范均以最新年度颁布执行的作为制造、试验、检验和验收的依据</w:t>
      </w:r>
    </w:p>
    <w:p w14:paraId="318C29C5">
      <w:pPr>
        <w:spacing w:after="0" w:line="360" w:lineRule="auto"/>
        <w:jc w:val="both"/>
        <w:rPr>
          <w:rFonts w:ascii="Times New Roman" w:hAnsi="Times New Roman"/>
          <w:lang w:eastAsia="zh-CN"/>
        </w:rPr>
      </w:pPr>
      <w:bookmarkStart w:id="29" w:name="_GoBack"/>
      <w:bookmarkEnd w:id="29"/>
    </w:p>
    <w:sectPr>
      <w:pgSz w:w="16838" w:h="11906" w:orient="landscape"/>
      <w:pgMar w:top="1800" w:right="1440" w:bottom="1800" w:left="144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华文仿宋">
    <w:panose1 w:val="02010600040101010101"/>
    <w:charset w:val="86"/>
    <w:family w:val="auto"/>
    <w:pitch w:val="default"/>
    <w:sig w:usb0="00000287" w:usb1="080F0000" w:usb2="00000000" w:usb3="00000000" w:csb0="0004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drawingGridHorizontalSpacing w:val="11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302B"/>
    <w:rsid w:val="000031BD"/>
    <w:rsid w:val="000037BB"/>
    <w:rsid w:val="00012439"/>
    <w:rsid w:val="00013F88"/>
    <w:rsid w:val="00026B42"/>
    <w:rsid w:val="0005277B"/>
    <w:rsid w:val="00067C29"/>
    <w:rsid w:val="000A3606"/>
    <w:rsid w:val="000A477D"/>
    <w:rsid w:val="000A5938"/>
    <w:rsid w:val="000B2D14"/>
    <w:rsid w:val="000B446E"/>
    <w:rsid w:val="000C00BA"/>
    <w:rsid w:val="000C5BA3"/>
    <w:rsid w:val="000C6BBA"/>
    <w:rsid w:val="000D5707"/>
    <w:rsid w:val="000E11AE"/>
    <w:rsid w:val="000F5028"/>
    <w:rsid w:val="000F6187"/>
    <w:rsid w:val="000F7528"/>
    <w:rsid w:val="00100E7A"/>
    <w:rsid w:val="00103903"/>
    <w:rsid w:val="001103F3"/>
    <w:rsid w:val="001124F0"/>
    <w:rsid w:val="00123730"/>
    <w:rsid w:val="00127372"/>
    <w:rsid w:val="00135D7E"/>
    <w:rsid w:val="00137BB7"/>
    <w:rsid w:val="001416B1"/>
    <w:rsid w:val="00144B72"/>
    <w:rsid w:val="00161308"/>
    <w:rsid w:val="001703BB"/>
    <w:rsid w:val="00171319"/>
    <w:rsid w:val="001713C3"/>
    <w:rsid w:val="00174543"/>
    <w:rsid w:val="00180AF0"/>
    <w:rsid w:val="001B0C9D"/>
    <w:rsid w:val="001B40A2"/>
    <w:rsid w:val="001B462E"/>
    <w:rsid w:val="001C3340"/>
    <w:rsid w:val="001C34E5"/>
    <w:rsid w:val="001C364C"/>
    <w:rsid w:val="001C70F3"/>
    <w:rsid w:val="001E37E1"/>
    <w:rsid w:val="001F47D8"/>
    <w:rsid w:val="001F4EBB"/>
    <w:rsid w:val="00205184"/>
    <w:rsid w:val="002061FB"/>
    <w:rsid w:val="00210FCC"/>
    <w:rsid w:val="00212A43"/>
    <w:rsid w:val="00212A47"/>
    <w:rsid w:val="00225E1A"/>
    <w:rsid w:val="0023127A"/>
    <w:rsid w:val="002358CB"/>
    <w:rsid w:val="002404B1"/>
    <w:rsid w:val="00242B16"/>
    <w:rsid w:val="002525C7"/>
    <w:rsid w:val="0026159F"/>
    <w:rsid w:val="0027109C"/>
    <w:rsid w:val="00275823"/>
    <w:rsid w:val="002768D5"/>
    <w:rsid w:val="0027702C"/>
    <w:rsid w:val="002830D6"/>
    <w:rsid w:val="002910FC"/>
    <w:rsid w:val="00297AA3"/>
    <w:rsid w:val="002A16AB"/>
    <w:rsid w:val="002B1836"/>
    <w:rsid w:val="002B6C90"/>
    <w:rsid w:val="002C4D99"/>
    <w:rsid w:val="002D03C0"/>
    <w:rsid w:val="002E0DC4"/>
    <w:rsid w:val="002E1BCB"/>
    <w:rsid w:val="002E52DD"/>
    <w:rsid w:val="002F4072"/>
    <w:rsid w:val="0030348E"/>
    <w:rsid w:val="00303632"/>
    <w:rsid w:val="003062AF"/>
    <w:rsid w:val="00323CBB"/>
    <w:rsid w:val="00331E21"/>
    <w:rsid w:val="003372C8"/>
    <w:rsid w:val="00351964"/>
    <w:rsid w:val="00370D52"/>
    <w:rsid w:val="003876E7"/>
    <w:rsid w:val="0038780B"/>
    <w:rsid w:val="00392CAF"/>
    <w:rsid w:val="003B6C90"/>
    <w:rsid w:val="003B7E58"/>
    <w:rsid w:val="003C3D35"/>
    <w:rsid w:val="003C5F11"/>
    <w:rsid w:val="003D0416"/>
    <w:rsid w:val="003D3578"/>
    <w:rsid w:val="003D3DEC"/>
    <w:rsid w:val="003E14A6"/>
    <w:rsid w:val="003E7A3B"/>
    <w:rsid w:val="003F7196"/>
    <w:rsid w:val="004029D8"/>
    <w:rsid w:val="0040346A"/>
    <w:rsid w:val="004246F7"/>
    <w:rsid w:val="00425201"/>
    <w:rsid w:val="00427D11"/>
    <w:rsid w:val="00443AD3"/>
    <w:rsid w:val="004563D0"/>
    <w:rsid w:val="004578C2"/>
    <w:rsid w:val="0047094B"/>
    <w:rsid w:val="004746CB"/>
    <w:rsid w:val="00474D4B"/>
    <w:rsid w:val="004862AC"/>
    <w:rsid w:val="004949A5"/>
    <w:rsid w:val="004B0C4A"/>
    <w:rsid w:val="004B0D3E"/>
    <w:rsid w:val="004B306A"/>
    <w:rsid w:val="004B478B"/>
    <w:rsid w:val="004B56E3"/>
    <w:rsid w:val="004B7BD3"/>
    <w:rsid w:val="004C647E"/>
    <w:rsid w:val="004C7050"/>
    <w:rsid w:val="004D587A"/>
    <w:rsid w:val="004D5B8A"/>
    <w:rsid w:val="004F3B3E"/>
    <w:rsid w:val="00511733"/>
    <w:rsid w:val="00512E2A"/>
    <w:rsid w:val="00522BB3"/>
    <w:rsid w:val="00525979"/>
    <w:rsid w:val="005311D9"/>
    <w:rsid w:val="00532116"/>
    <w:rsid w:val="00532AF8"/>
    <w:rsid w:val="005338E2"/>
    <w:rsid w:val="005355FE"/>
    <w:rsid w:val="00542E2B"/>
    <w:rsid w:val="00545807"/>
    <w:rsid w:val="0055727B"/>
    <w:rsid w:val="00564F3E"/>
    <w:rsid w:val="005702A7"/>
    <w:rsid w:val="005710F5"/>
    <w:rsid w:val="00571455"/>
    <w:rsid w:val="00582307"/>
    <w:rsid w:val="0058519B"/>
    <w:rsid w:val="005875BA"/>
    <w:rsid w:val="00591D38"/>
    <w:rsid w:val="00592453"/>
    <w:rsid w:val="00593537"/>
    <w:rsid w:val="0059726E"/>
    <w:rsid w:val="005A35FC"/>
    <w:rsid w:val="005A4D0C"/>
    <w:rsid w:val="005A77E2"/>
    <w:rsid w:val="005B2A85"/>
    <w:rsid w:val="005B5468"/>
    <w:rsid w:val="005C146A"/>
    <w:rsid w:val="005C6B67"/>
    <w:rsid w:val="005C6F88"/>
    <w:rsid w:val="005C7766"/>
    <w:rsid w:val="005D36D9"/>
    <w:rsid w:val="005D42D6"/>
    <w:rsid w:val="005E78DA"/>
    <w:rsid w:val="005F0712"/>
    <w:rsid w:val="005F400F"/>
    <w:rsid w:val="005F547C"/>
    <w:rsid w:val="00605C40"/>
    <w:rsid w:val="0061302B"/>
    <w:rsid w:val="00613106"/>
    <w:rsid w:val="0062234B"/>
    <w:rsid w:val="006274BE"/>
    <w:rsid w:val="00662386"/>
    <w:rsid w:val="00666DD2"/>
    <w:rsid w:val="00682A5E"/>
    <w:rsid w:val="006866CC"/>
    <w:rsid w:val="006A0ABE"/>
    <w:rsid w:val="006A0C82"/>
    <w:rsid w:val="006B23B8"/>
    <w:rsid w:val="006B495B"/>
    <w:rsid w:val="006C5439"/>
    <w:rsid w:val="006D0E8F"/>
    <w:rsid w:val="006D2572"/>
    <w:rsid w:val="006D6402"/>
    <w:rsid w:val="006D7622"/>
    <w:rsid w:val="006E5A15"/>
    <w:rsid w:val="0070341C"/>
    <w:rsid w:val="00703E29"/>
    <w:rsid w:val="007066C7"/>
    <w:rsid w:val="0071164D"/>
    <w:rsid w:val="00714F53"/>
    <w:rsid w:val="00721EB9"/>
    <w:rsid w:val="00723330"/>
    <w:rsid w:val="007408A8"/>
    <w:rsid w:val="00740C18"/>
    <w:rsid w:val="00740C92"/>
    <w:rsid w:val="00744BAD"/>
    <w:rsid w:val="007532A4"/>
    <w:rsid w:val="00757CA7"/>
    <w:rsid w:val="0078092E"/>
    <w:rsid w:val="007842DB"/>
    <w:rsid w:val="00784733"/>
    <w:rsid w:val="0079107D"/>
    <w:rsid w:val="00792208"/>
    <w:rsid w:val="00794BE5"/>
    <w:rsid w:val="00795CFC"/>
    <w:rsid w:val="007968A0"/>
    <w:rsid w:val="007B0B67"/>
    <w:rsid w:val="007B4DAA"/>
    <w:rsid w:val="007B67A3"/>
    <w:rsid w:val="007C1E68"/>
    <w:rsid w:val="007C273C"/>
    <w:rsid w:val="007C2BF8"/>
    <w:rsid w:val="007D1130"/>
    <w:rsid w:val="007D235A"/>
    <w:rsid w:val="007D2485"/>
    <w:rsid w:val="007E2A0D"/>
    <w:rsid w:val="007E62AE"/>
    <w:rsid w:val="007E6CF5"/>
    <w:rsid w:val="0080018F"/>
    <w:rsid w:val="008154E3"/>
    <w:rsid w:val="00830D27"/>
    <w:rsid w:val="00831650"/>
    <w:rsid w:val="0083277C"/>
    <w:rsid w:val="00833555"/>
    <w:rsid w:val="0086468E"/>
    <w:rsid w:val="00871995"/>
    <w:rsid w:val="00882503"/>
    <w:rsid w:val="00884FAA"/>
    <w:rsid w:val="008942B4"/>
    <w:rsid w:val="00894BB2"/>
    <w:rsid w:val="0089676B"/>
    <w:rsid w:val="008A0CB4"/>
    <w:rsid w:val="008A0CD0"/>
    <w:rsid w:val="008A0E64"/>
    <w:rsid w:val="008B522D"/>
    <w:rsid w:val="008C31C1"/>
    <w:rsid w:val="008C3BAA"/>
    <w:rsid w:val="008D35F7"/>
    <w:rsid w:val="008D3AFB"/>
    <w:rsid w:val="008D5CDC"/>
    <w:rsid w:val="008D5E66"/>
    <w:rsid w:val="008D6408"/>
    <w:rsid w:val="008D7B29"/>
    <w:rsid w:val="008E0368"/>
    <w:rsid w:val="008F37E1"/>
    <w:rsid w:val="008F7C4F"/>
    <w:rsid w:val="009032A0"/>
    <w:rsid w:val="00923A83"/>
    <w:rsid w:val="00926124"/>
    <w:rsid w:val="0093000E"/>
    <w:rsid w:val="00935646"/>
    <w:rsid w:val="00937B04"/>
    <w:rsid w:val="00937BA4"/>
    <w:rsid w:val="00943A64"/>
    <w:rsid w:val="00956321"/>
    <w:rsid w:val="00974651"/>
    <w:rsid w:val="009762BF"/>
    <w:rsid w:val="00980996"/>
    <w:rsid w:val="00980DA3"/>
    <w:rsid w:val="00984C10"/>
    <w:rsid w:val="00992A56"/>
    <w:rsid w:val="00995C10"/>
    <w:rsid w:val="009B019F"/>
    <w:rsid w:val="009B7C36"/>
    <w:rsid w:val="009C0AEF"/>
    <w:rsid w:val="009C3A28"/>
    <w:rsid w:val="009C4A08"/>
    <w:rsid w:val="009E1B98"/>
    <w:rsid w:val="009E2CFE"/>
    <w:rsid w:val="009E3685"/>
    <w:rsid w:val="009E47A9"/>
    <w:rsid w:val="009F07E7"/>
    <w:rsid w:val="00A0688D"/>
    <w:rsid w:val="00A0697D"/>
    <w:rsid w:val="00A177A5"/>
    <w:rsid w:val="00A640B0"/>
    <w:rsid w:val="00A65FBD"/>
    <w:rsid w:val="00A6727E"/>
    <w:rsid w:val="00A76D70"/>
    <w:rsid w:val="00A8044A"/>
    <w:rsid w:val="00A8079B"/>
    <w:rsid w:val="00A81298"/>
    <w:rsid w:val="00A844F3"/>
    <w:rsid w:val="00A87679"/>
    <w:rsid w:val="00A91300"/>
    <w:rsid w:val="00A9479F"/>
    <w:rsid w:val="00AA50D9"/>
    <w:rsid w:val="00AA69F8"/>
    <w:rsid w:val="00AB0DD5"/>
    <w:rsid w:val="00AC6F61"/>
    <w:rsid w:val="00AC7B11"/>
    <w:rsid w:val="00AC7CC0"/>
    <w:rsid w:val="00AF07DC"/>
    <w:rsid w:val="00AF2FBA"/>
    <w:rsid w:val="00AF7E8A"/>
    <w:rsid w:val="00B05B86"/>
    <w:rsid w:val="00B07828"/>
    <w:rsid w:val="00B13D3A"/>
    <w:rsid w:val="00B15081"/>
    <w:rsid w:val="00B235CB"/>
    <w:rsid w:val="00B239BE"/>
    <w:rsid w:val="00B257F1"/>
    <w:rsid w:val="00B341FE"/>
    <w:rsid w:val="00B353BC"/>
    <w:rsid w:val="00B41319"/>
    <w:rsid w:val="00B446F6"/>
    <w:rsid w:val="00B473C3"/>
    <w:rsid w:val="00B47810"/>
    <w:rsid w:val="00B62A09"/>
    <w:rsid w:val="00B65078"/>
    <w:rsid w:val="00B75CCE"/>
    <w:rsid w:val="00B7774D"/>
    <w:rsid w:val="00B77BE1"/>
    <w:rsid w:val="00B81D5C"/>
    <w:rsid w:val="00B91D6F"/>
    <w:rsid w:val="00B95A13"/>
    <w:rsid w:val="00BB5D72"/>
    <w:rsid w:val="00BB6B31"/>
    <w:rsid w:val="00BC07A5"/>
    <w:rsid w:val="00BC311C"/>
    <w:rsid w:val="00BD05D1"/>
    <w:rsid w:val="00BE60FA"/>
    <w:rsid w:val="00BF47D9"/>
    <w:rsid w:val="00BF5BE6"/>
    <w:rsid w:val="00BF606B"/>
    <w:rsid w:val="00C00C69"/>
    <w:rsid w:val="00C05039"/>
    <w:rsid w:val="00C10352"/>
    <w:rsid w:val="00C14D76"/>
    <w:rsid w:val="00C170A9"/>
    <w:rsid w:val="00C21335"/>
    <w:rsid w:val="00C23326"/>
    <w:rsid w:val="00C23424"/>
    <w:rsid w:val="00C32977"/>
    <w:rsid w:val="00C42791"/>
    <w:rsid w:val="00C438C9"/>
    <w:rsid w:val="00C50348"/>
    <w:rsid w:val="00C5444C"/>
    <w:rsid w:val="00C7190D"/>
    <w:rsid w:val="00C73E1B"/>
    <w:rsid w:val="00C7422B"/>
    <w:rsid w:val="00C827ED"/>
    <w:rsid w:val="00C85B1B"/>
    <w:rsid w:val="00C9034E"/>
    <w:rsid w:val="00CA186C"/>
    <w:rsid w:val="00CA1EF1"/>
    <w:rsid w:val="00CA561A"/>
    <w:rsid w:val="00CA5FD5"/>
    <w:rsid w:val="00CB092F"/>
    <w:rsid w:val="00CC226E"/>
    <w:rsid w:val="00CC4B24"/>
    <w:rsid w:val="00CC75AC"/>
    <w:rsid w:val="00CD221D"/>
    <w:rsid w:val="00CD559D"/>
    <w:rsid w:val="00CE1E34"/>
    <w:rsid w:val="00CE2DBB"/>
    <w:rsid w:val="00CF505E"/>
    <w:rsid w:val="00CF5B60"/>
    <w:rsid w:val="00D07902"/>
    <w:rsid w:val="00D10A79"/>
    <w:rsid w:val="00D11490"/>
    <w:rsid w:val="00D24E9A"/>
    <w:rsid w:val="00D31AFC"/>
    <w:rsid w:val="00D361C4"/>
    <w:rsid w:val="00D40F18"/>
    <w:rsid w:val="00D42740"/>
    <w:rsid w:val="00D44DF4"/>
    <w:rsid w:val="00D573AE"/>
    <w:rsid w:val="00D713F8"/>
    <w:rsid w:val="00D75ADC"/>
    <w:rsid w:val="00D763AF"/>
    <w:rsid w:val="00D763E8"/>
    <w:rsid w:val="00D771ED"/>
    <w:rsid w:val="00D77521"/>
    <w:rsid w:val="00D846B7"/>
    <w:rsid w:val="00DB7837"/>
    <w:rsid w:val="00DC22DF"/>
    <w:rsid w:val="00DC2E1B"/>
    <w:rsid w:val="00DC58CD"/>
    <w:rsid w:val="00DC7E86"/>
    <w:rsid w:val="00DD4E99"/>
    <w:rsid w:val="00DE7DD2"/>
    <w:rsid w:val="00DF2AA9"/>
    <w:rsid w:val="00DF4B28"/>
    <w:rsid w:val="00E00150"/>
    <w:rsid w:val="00E001BA"/>
    <w:rsid w:val="00E2065A"/>
    <w:rsid w:val="00E430B1"/>
    <w:rsid w:val="00E451A1"/>
    <w:rsid w:val="00E454D0"/>
    <w:rsid w:val="00E45563"/>
    <w:rsid w:val="00E51B30"/>
    <w:rsid w:val="00E60A27"/>
    <w:rsid w:val="00E617EA"/>
    <w:rsid w:val="00E91960"/>
    <w:rsid w:val="00EA3F90"/>
    <w:rsid w:val="00EA4F72"/>
    <w:rsid w:val="00EB13BE"/>
    <w:rsid w:val="00EB1D15"/>
    <w:rsid w:val="00EB703B"/>
    <w:rsid w:val="00EC0C0C"/>
    <w:rsid w:val="00EC207B"/>
    <w:rsid w:val="00EC32DA"/>
    <w:rsid w:val="00EC5F6C"/>
    <w:rsid w:val="00EE21E0"/>
    <w:rsid w:val="00EE24B7"/>
    <w:rsid w:val="00F30A2D"/>
    <w:rsid w:val="00F35376"/>
    <w:rsid w:val="00F36792"/>
    <w:rsid w:val="00F44664"/>
    <w:rsid w:val="00F5431F"/>
    <w:rsid w:val="00F54C99"/>
    <w:rsid w:val="00F72896"/>
    <w:rsid w:val="00F77DE1"/>
    <w:rsid w:val="00F90A1B"/>
    <w:rsid w:val="00F927A8"/>
    <w:rsid w:val="00FB0790"/>
    <w:rsid w:val="00FB2C75"/>
    <w:rsid w:val="00FB45A5"/>
    <w:rsid w:val="00FC3725"/>
    <w:rsid w:val="00FC4C2B"/>
    <w:rsid w:val="00FD034D"/>
    <w:rsid w:val="00FD1E09"/>
    <w:rsid w:val="00FD7A8B"/>
    <w:rsid w:val="00FE6F63"/>
    <w:rsid w:val="00FF784E"/>
    <w:rsid w:val="135D6476"/>
    <w:rsid w:val="445320AA"/>
    <w:rsid w:val="79DD3B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宋体" w:cs="Times New Roman"/>
      <w:sz w:val="22"/>
      <w:szCs w:val="22"/>
      <w:lang w:val="en-US" w:eastAsia="en-US" w:bidi="ar-SA"/>
    </w:rPr>
  </w:style>
  <w:style w:type="paragraph" w:styleId="2">
    <w:name w:val="heading 1"/>
    <w:basedOn w:val="1"/>
    <w:next w:val="1"/>
    <w:link w:val="22"/>
    <w:qFormat/>
    <w:uiPriority w:val="9"/>
    <w:pPr>
      <w:keepNext/>
      <w:keepLines/>
      <w:widowControl w:val="0"/>
      <w:spacing w:before="480" w:after="80" w:line="240" w:lineRule="auto"/>
      <w:jc w:val="both"/>
      <w:outlineLvl w:val="0"/>
    </w:pPr>
    <w:rPr>
      <w:rFonts w:asciiTheme="majorHAnsi" w:hAnsiTheme="majorHAnsi" w:eastAsiaTheme="majorEastAsia" w:cstheme="majorBidi"/>
      <w:color w:val="104862" w:themeColor="accent1" w:themeShade="BF"/>
      <w:kern w:val="2"/>
      <w:sz w:val="48"/>
      <w:szCs w:val="48"/>
      <w:lang w:eastAsia="zh-CN"/>
      <w14:ligatures w14:val="standardContextual"/>
    </w:rPr>
  </w:style>
  <w:style w:type="paragraph" w:styleId="3">
    <w:name w:val="heading 2"/>
    <w:basedOn w:val="1"/>
    <w:next w:val="1"/>
    <w:link w:val="23"/>
    <w:unhideWhenUsed/>
    <w:qFormat/>
    <w:uiPriority w:val="9"/>
    <w:pPr>
      <w:keepNext/>
      <w:keepLines/>
      <w:widowControl w:val="0"/>
      <w:spacing w:before="160" w:after="80" w:line="240" w:lineRule="auto"/>
      <w:jc w:val="both"/>
      <w:outlineLvl w:val="1"/>
    </w:pPr>
    <w:rPr>
      <w:rFonts w:asciiTheme="majorHAnsi" w:hAnsiTheme="majorHAnsi" w:eastAsiaTheme="majorEastAsia" w:cstheme="majorBidi"/>
      <w:color w:val="104862" w:themeColor="accent1" w:themeShade="BF"/>
      <w:kern w:val="2"/>
      <w:sz w:val="40"/>
      <w:szCs w:val="40"/>
      <w:lang w:eastAsia="zh-CN"/>
      <w14:ligatures w14:val="standardContextual"/>
    </w:rPr>
  </w:style>
  <w:style w:type="paragraph" w:styleId="4">
    <w:name w:val="heading 3"/>
    <w:basedOn w:val="1"/>
    <w:next w:val="1"/>
    <w:link w:val="24"/>
    <w:semiHidden/>
    <w:unhideWhenUsed/>
    <w:qFormat/>
    <w:uiPriority w:val="9"/>
    <w:pPr>
      <w:keepNext/>
      <w:keepLines/>
      <w:widowControl w:val="0"/>
      <w:spacing w:before="160" w:after="80" w:line="240" w:lineRule="auto"/>
      <w:jc w:val="both"/>
      <w:outlineLvl w:val="2"/>
    </w:pPr>
    <w:rPr>
      <w:rFonts w:asciiTheme="majorHAnsi" w:hAnsiTheme="majorHAnsi" w:eastAsiaTheme="majorEastAsia" w:cstheme="majorBidi"/>
      <w:color w:val="104862" w:themeColor="accent1" w:themeShade="BF"/>
      <w:kern w:val="2"/>
      <w:sz w:val="32"/>
      <w:szCs w:val="32"/>
      <w:lang w:eastAsia="zh-CN"/>
      <w14:ligatures w14:val="standardContextual"/>
    </w:rPr>
  </w:style>
  <w:style w:type="paragraph" w:styleId="5">
    <w:name w:val="heading 4"/>
    <w:basedOn w:val="1"/>
    <w:next w:val="1"/>
    <w:link w:val="25"/>
    <w:semiHidden/>
    <w:unhideWhenUsed/>
    <w:qFormat/>
    <w:uiPriority w:val="9"/>
    <w:pPr>
      <w:keepNext/>
      <w:keepLines/>
      <w:widowControl w:val="0"/>
      <w:spacing w:before="80" w:after="40" w:line="240" w:lineRule="auto"/>
      <w:jc w:val="both"/>
      <w:outlineLvl w:val="3"/>
    </w:pPr>
    <w:rPr>
      <w:rFonts w:asciiTheme="minorHAnsi" w:hAnsiTheme="minorHAnsi" w:eastAsiaTheme="minorEastAsia" w:cstheme="majorBidi"/>
      <w:color w:val="104862" w:themeColor="accent1" w:themeShade="BF"/>
      <w:kern w:val="2"/>
      <w:sz w:val="28"/>
      <w:szCs w:val="28"/>
      <w:lang w:eastAsia="zh-CN"/>
      <w14:ligatures w14:val="standardContextual"/>
    </w:rPr>
  </w:style>
  <w:style w:type="paragraph" w:styleId="6">
    <w:name w:val="heading 5"/>
    <w:basedOn w:val="1"/>
    <w:next w:val="1"/>
    <w:link w:val="26"/>
    <w:semiHidden/>
    <w:unhideWhenUsed/>
    <w:qFormat/>
    <w:uiPriority w:val="9"/>
    <w:pPr>
      <w:keepNext/>
      <w:keepLines/>
      <w:widowControl w:val="0"/>
      <w:spacing w:before="80" w:after="40" w:line="240" w:lineRule="auto"/>
      <w:jc w:val="both"/>
      <w:outlineLvl w:val="4"/>
    </w:pPr>
    <w:rPr>
      <w:rFonts w:asciiTheme="minorHAnsi" w:hAnsiTheme="minorHAnsi" w:eastAsiaTheme="minorEastAsia" w:cstheme="majorBidi"/>
      <w:color w:val="104862" w:themeColor="accent1" w:themeShade="BF"/>
      <w:kern w:val="2"/>
      <w:sz w:val="24"/>
      <w:szCs w:val="24"/>
      <w:lang w:eastAsia="zh-CN"/>
      <w14:ligatures w14:val="standardContextual"/>
    </w:rPr>
  </w:style>
  <w:style w:type="paragraph" w:styleId="7">
    <w:name w:val="heading 6"/>
    <w:basedOn w:val="1"/>
    <w:next w:val="1"/>
    <w:link w:val="27"/>
    <w:semiHidden/>
    <w:unhideWhenUsed/>
    <w:qFormat/>
    <w:uiPriority w:val="9"/>
    <w:pPr>
      <w:keepNext/>
      <w:keepLines/>
      <w:widowControl w:val="0"/>
      <w:spacing w:before="40" w:after="0" w:line="240" w:lineRule="auto"/>
      <w:jc w:val="both"/>
      <w:outlineLvl w:val="5"/>
    </w:pPr>
    <w:rPr>
      <w:rFonts w:asciiTheme="minorHAnsi" w:hAnsiTheme="minorHAnsi" w:eastAsiaTheme="minorEastAsia" w:cstheme="majorBidi"/>
      <w:b/>
      <w:bCs/>
      <w:color w:val="104862" w:themeColor="accent1" w:themeShade="BF"/>
      <w:kern w:val="2"/>
      <w:sz w:val="21"/>
      <w:lang w:eastAsia="zh-CN"/>
      <w14:ligatures w14:val="standardContextual"/>
    </w:rPr>
  </w:style>
  <w:style w:type="paragraph" w:styleId="8">
    <w:name w:val="heading 7"/>
    <w:basedOn w:val="1"/>
    <w:next w:val="1"/>
    <w:link w:val="28"/>
    <w:semiHidden/>
    <w:unhideWhenUsed/>
    <w:qFormat/>
    <w:uiPriority w:val="9"/>
    <w:pPr>
      <w:keepNext/>
      <w:keepLines/>
      <w:widowControl w:val="0"/>
      <w:spacing w:before="40" w:after="0" w:line="240" w:lineRule="auto"/>
      <w:jc w:val="both"/>
      <w:outlineLvl w:val="6"/>
    </w:pPr>
    <w:rPr>
      <w:rFonts w:asciiTheme="minorHAnsi" w:hAnsiTheme="minorHAnsi" w:eastAsiaTheme="minorEastAsia" w:cstheme="majorBidi"/>
      <w:b/>
      <w:bCs/>
      <w:color w:val="595959" w:themeColor="text1" w:themeTint="A6"/>
      <w:kern w:val="2"/>
      <w:sz w:val="21"/>
      <w:lang w:eastAsia="zh-CN"/>
      <w14:textFill>
        <w14:solidFill>
          <w14:schemeClr w14:val="tx1">
            <w14:lumMod w14:val="65000"/>
            <w14:lumOff w14:val="35000"/>
          </w14:schemeClr>
        </w14:solidFill>
      </w14:textFill>
      <w14:ligatures w14:val="standardContextual"/>
    </w:rPr>
  </w:style>
  <w:style w:type="paragraph" w:styleId="9">
    <w:name w:val="heading 8"/>
    <w:basedOn w:val="1"/>
    <w:next w:val="1"/>
    <w:link w:val="29"/>
    <w:semiHidden/>
    <w:unhideWhenUsed/>
    <w:qFormat/>
    <w:uiPriority w:val="9"/>
    <w:pPr>
      <w:keepNext/>
      <w:keepLines/>
      <w:widowControl w:val="0"/>
      <w:spacing w:after="0" w:line="240" w:lineRule="auto"/>
      <w:jc w:val="both"/>
      <w:outlineLvl w:val="7"/>
    </w:pPr>
    <w:rPr>
      <w:rFonts w:asciiTheme="minorHAnsi" w:hAnsiTheme="minorHAnsi" w:eastAsiaTheme="minorEastAsia" w:cstheme="majorBidi"/>
      <w:color w:val="595959" w:themeColor="text1" w:themeTint="A6"/>
      <w:kern w:val="2"/>
      <w:sz w:val="21"/>
      <w:lang w:eastAsia="zh-CN"/>
      <w14:textFill>
        <w14:solidFill>
          <w14:schemeClr w14:val="tx1">
            <w14:lumMod w14:val="65000"/>
            <w14:lumOff w14:val="35000"/>
          </w14:schemeClr>
        </w14:solidFill>
      </w14:textFill>
      <w14:ligatures w14:val="standardContextual"/>
    </w:rPr>
  </w:style>
  <w:style w:type="paragraph" w:styleId="10">
    <w:name w:val="heading 9"/>
    <w:basedOn w:val="1"/>
    <w:next w:val="1"/>
    <w:link w:val="30"/>
    <w:semiHidden/>
    <w:unhideWhenUsed/>
    <w:qFormat/>
    <w:uiPriority w:val="9"/>
    <w:pPr>
      <w:keepNext/>
      <w:keepLines/>
      <w:widowControl w:val="0"/>
      <w:spacing w:after="0" w:line="240" w:lineRule="auto"/>
      <w:jc w:val="both"/>
      <w:outlineLvl w:val="8"/>
    </w:pPr>
    <w:rPr>
      <w:rFonts w:asciiTheme="minorHAnsi" w:hAnsiTheme="minorHAnsi" w:eastAsiaTheme="majorEastAsia" w:cstheme="majorBidi"/>
      <w:color w:val="595959" w:themeColor="text1" w:themeTint="A6"/>
      <w:kern w:val="2"/>
      <w:sz w:val="21"/>
      <w:lang w:eastAsia="zh-CN"/>
      <w14:textFill>
        <w14:solidFill>
          <w14:schemeClr w14:val="tx1">
            <w14:lumMod w14:val="65000"/>
            <w14:lumOff w14:val="35000"/>
          </w14:schemeClr>
        </w14:solidFill>
      </w14:textFill>
      <w14:ligatures w14:val="standardContextual"/>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11">
    <w:name w:val="annotation text"/>
    <w:basedOn w:val="1"/>
    <w:link w:val="43"/>
    <w:semiHidden/>
    <w:unhideWhenUsed/>
    <w:qFormat/>
    <w:uiPriority w:val="99"/>
  </w:style>
  <w:style w:type="paragraph" w:styleId="12">
    <w:name w:val="Balloon Text"/>
    <w:basedOn w:val="1"/>
    <w:link w:val="45"/>
    <w:semiHidden/>
    <w:unhideWhenUsed/>
    <w:qFormat/>
    <w:uiPriority w:val="99"/>
    <w:pPr>
      <w:spacing w:after="0" w:line="240" w:lineRule="auto"/>
    </w:pPr>
    <w:rPr>
      <w:sz w:val="18"/>
      <w:szCs w:val="18"/>
    </w:rPr>
  </w:style>
  <w:style w:type="paragraph" w:styleId="13">
    <w:name w:val="footer"/>
    <w:basedOn w:val="1"/>
    <w:link w:val="41"/>
    <w:unhideWhenUsed/>
    <w:qFormat/>
    <w:uiPriority w:val="99"/>
    <w:pPr>
      <w:widowControl w:val="0"/>
      <w:tabs>
        <w:tab w:val="center" w:pos="4153"/>
        <w:tab w:val="right" w:pos="8306"/>
      </w:tabs>
      <w:snapToGrid w:val="0"/>
      <w:spacing w:after="0" w:line="240" w:lineRule="auto"/>
    </w:pPr>
    <w:rPr>
      <w:rFonts w:asciiTheme="minorHAnsi" w:hAnsiTheme="minorHAnsi" w:eastAsiaTheme="minorEastAsia" w:cstheme="minorBidi"/>
      <w:kern w:val="2"/>
      <w:sz w:val="18"/>
      <w:szCs w:val="18"/>
      <w:lang w:eastAsia="zh-CN"/>
      <w14:ligatures w14:val="standardContextual"/>
    </w:rPr>
  </w:style>
  <w:style w:type="paragraph" w:styleId="14">
    <w:name w:val="header"/>
    <w:basedOn w:val="1"/>
    <w:link w:val="40"/>
    <w:unhideWhenUsed/>
    <w:qFormat/>
    <w:uiPriority w:val="99"/>
    <w:pPr>
      <w:widowControl w:val="0"/>
      <w:tabs>
        <w:tab w:val="center" w:pos="4153"/>
        <w:tab w:val="right" w:pos="8306"/>
      </w:tabs>
      <w:snapToGrid w:val="0"/>
      <w:spacing w:after="0" w:line="240" w:lineRule="auto"/>
      <w:jc w:val="center"/>
    </w:pPr>
    <w:rPr>
      <w:rFonts w:asciiTheme="minorHAnsi" w:hAnsiTheme="minorHAnsi" w:eastAsiaTheme="minorEastAsia" w:cstheme="minorBidi"/>
      <w:kern w:val="2"/>
      <w:sz w:val="18"/>
      <w:szCs w:val="18"/>
      <w:lang w:eastAsia="zh-CN"/>
      <w14:ligatures w14:val="standardContextual"/>
    </w:rPr>
  </w:style>
  <w:style w:type="paragraph" w:styleId="15">
    <w:name w:val="Subtitle"/>
    <w:basedOn w:val="1"/>
    <w:next w:val="1"/>
    <w:link w:val="32"/>
    <w:qFormat/>
    <w:uiPriority w:val="11"/>
    <w:pPr>
      <w:widowControl w:val="0"/>
      <w:spacing w:after="160" w:line="240" w:lineRule="auto"/>
      <w:jc w:val="center"/>
    </w:pPr>
    <w:rPr>
      <w:rFonts w:asciiTheme="majorHAnsi" w:hAnsiTheme="majorHAnsi" w:eastAsiaTheme="majorEastAsia" w:cstheme="majorBidi"/>
      <w:color w:val="595959" w:themeColor="text1" w:themeTint="A6"/>
      <w:spacing w:val="15"/>
      <w:kern w:val="2"/>
      <w:sz w:val="28"/>
      <w:szCs w:val="28"/>
      <w:lang w:eastAsia="zh-CN"/>
      <w14:textFill>
        <w14:solidFill>
          <w14:schemeClr w14:val="tx1">
            <w14:lumMod w14:val="65000"/>
            <w14:lumOff w14:val="35000"/>
          </w14:schemeClr>
        </w14:solidFill>
      </w14:textFill>
      <w14:ligatures w14:val="standardContextual"/>
    </w:rPr>
  </w:style>
  <w:style w:type="paragraph" w:styleId="16">
    <w:name w:val="Title"/>
    <w:basedOn w:val="1"/>
    <w:next w:val="1"/>
    <w:link w:val="31"/>
    <w:qFormat/>
    <w:uiPriority w:val="10"/>
    <w:pPr>
      <w:widowControl w:val="0"/>
      <w:spacing w:after="80" w:line="240" w:lineRule="auto"/>
      <w:contextualSpacing/>
      <w:jc w:val="center"/>
    </w:pPr>
    <w:rPr>
      <w:rFonts w:asciiTheme="majorHAnsi" w:hAnsiTheme="majorHAnsi" w:eastAsiaTheme="majorEastAsia" w:cstheme="majorBidi"/>
      <w:spacing w:val="-10"/>
      <w:kern w:val="28"/>
      <w:sz w:val="56"/>
      <w:szCs w:val="56"/>
      <w:lang w:eastAsia="zh-CN"/>
      <w14:ligatures w14:val="standardContextual"/>
    </w:rPr>
  </w:style>
  <w:style w:type="paragraph" w:styleId="17">
    <w:name w:val="annotation subject"/>
    <w:basedOn w:val="11"/>
    <w:next w:val="11"/>
    <w:link w:val="44"/>
    <w:semiHidden/>
    <w:unhideWhenUsed/>
    <w:qFormat/>
    <w:uiPriority w:val="99"/>
    <w:rPr>
      <w:b/>
      <w:bCs/>
    </w:rPr>
  </w:style>
  <w:style w:type="table" w:styleId="19">
    <w:name w:val="Table Grid"/>
    <w:basedOn w:val="1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semiHidden/>
    <w:unhideWhenUsed/>
    <w:qFormat/>
    <w:uiPriority w:val="99"/>
    <w:rPr>
      <w:sz w:val="21"/>
      <w:szCs w:val="21"/>
    </w:rPr>
  </w:style>
  <w:style w:type="character" w:customStyle="1" w:styleId="22">
    <w:name w:val="标题 1 字符"/>
    <w:basedOn w:val="20"/>
    <w:link w:val="2"/>
    <w:qFormat/>
    <w:uiPriority w:val="9"/>
    <w:rPr>
      <w:rFonts w:asciiTheme="majorHAnsi" w:hAnsiTheme="majorHAnsi" w:eastAsiaTheme="majorEastAsia" w:cstheme="majorBidi"/>
      <w:color w:val="104862" w:themeColor="accent1" w:themeShade="BF"/>
      <w:sz w:val="48"/>
      <w:szCs w:val="48"/>
    </w:rPr>
  </w:style>
  <w:style w:type="character" w:customStyle="1" w:styleId="23">
    <w:name w:val="标题 2 字符"/>
    <w:basedOn w:val="20"/>
    <w:link w:val="3"/>
    <w:qFormat/>
    <w:uiPriority w:val="9"/>
    <w:rPr>
      <w:rFonts w:asciiTheme="majorHAnsi" w:hAnsiTheme="majorHAnsi" w:eastAsiaTheme="majorEastAsia" w:cstheme="majorBidi"/>
      <w:color w:val="104862" w:themeColor="accent1" w:themeShade="BF"/>
      <w:sz w:val="40"/>
      <w:szCs w:val="40"/>
    </w:rPr>
  </w:style>
  <w:style w:type="character" w:customStyle="1" w:styleId="24">
    <w:name w:val="标题 3 字符"/>
    <w:basedOn w:val="20"/>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5">
    <w:name w:val="标题 4 字符"/>
    <w:basedOn w:val="20"/>
    <w:link w:val="5"/>
    <w:semiHidden/>
    <w:qFormat/>
    <w:uiPriority w:val="9"/>
    <w:rPr>
      <w:rFonts w:cstheme="majorBidi"/>
      <w:color w:val="104862" w:themeColor="accent1" w:themeShade="BF"/>
      <w:sz w:val="28"/>
      <w:szCs w:val="28"/>
    </w:rPr>
  </w:style>
  <w:style w:type="character" w:customStyle="1" w:styleId="26">
    <w:name w:val="标题 5 字符"/>
    <w:basedOn w:val="20"/>
    <w:link w:val="6"/>
    <w:semiHidden/>
    <w:qFormat/>
    <w:uiPriority w:val="9"/>
    <w:rPr>
      <w:rFonts w:cstheme="majorBidi"/>
      <w:color w:val="104862" w:themeColor="accent1" w:themeShade="BF"/>
      <w:sz w:val="24"/>
      <w:szCs w:val="24"/>
    </w:rPr>
  </w:style>
  <w:style w:type="character" w:customStyle="1" w:styleId="27">
    <w:name w:val="标题 6 字符"/>
    <w:basedOn w:val="20"/>
    <w:link w:val="7"/>
    <w:semiHidden/>
    <w:qFormat/>
    <w:uiPriority w:val="9"/>
    <w:rPr>
      <w:rFonts w:cstheme="majorBidi"/>
      <w:b/>
      <w:bCs/>
      <w:color w:val="104862" w:themeColor="accent1" w:themeShade="BF"/>
    </w:rPr>
  </w:style>
  <w:style w:type="character" w:customStyle="1" w:styleId="28">
    <w:name w:val="标题 7 字符"/>
    <w:basedOn w:val="20"/>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9">
    <w:name w:val="标题 8 字符"/>
    <w:basedOn w:val="20"/>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0">
    <w:name w:val="标题 9 字符"/>
    <w:basedOn w:val="20"/>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1">
    <w:name w:val="标题 字符"/>
    <w:basedOn w:val="20"/>
    <w:link w:val="16"/>
    <w:qFormat/>
    <w:uiPriority w:val="10"/>
    <w:rPr>
      <w:rFonts w:asciiTheme="majorHAnsi" w:hAnsiTheme="majorHAnsi" w:eastAsiaTheme="majorEastAsia" w:cstheme="majorBidi"/>
      <w:spacing w:val="-10"/>
      <w:kern w:val="28"/>
      <w:sz w:val="56"/>
      <w:szCs w:val="56"/>
    </w:rPr>
  </w:style>
  <w:style w:type="character" w:customStyle="1" w:styleId="32">
    <w:name w:val="副标题 字符"/>
    <w:basedOn w:val="20"/>
    <w:link w:val="15"/>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3">
    <w:name w:val="Quote"/>
    <w:basedOn w:val="1"/>
    <w:next w:val="1"/>
    <w:link w:val="34"/>
    <w:qFormat/>
    <w:uiPriority w:val="29"/>
    <w:pPr>
      <w:widowControl w:val="0"/>
      <w:spacing w:before="160" w:after="160" w:line="240" w:lineRule="auto"/>
      <w:jc w:val="center"/>
    </w:pPr>
    <w:rPr>
      <w:rFonts w:asciiTheme="minorHAnsi" w:hAnsiTheme="minorHAnsi" w:eastAsiaTheme="minorEastAsia" w:cstheme="minorBidi"/>
      <w:i/>
      <w:iCs/>
      <w:color w:val="404040" w:themeColor="text1" w:themeTint="BF"/>
      <w:kern w:val="2"/>
      <w:sz w:val="21"/>
      <w:lang w:eastAsia="zh-CN"/>
      <w14:textFill>
        <w14:solidFill>
          <w14:schemeClr w14:val="tx1">
            <w14:lumMod w14:val="75000"/>
            <w14:lumOff w14:val="25000"/>
          </w14:schemeClr>
        </w14:solidFill>
      </w14:textFill>
      <w14:ligatures w14:val="standardContextual"/>
    </w:rPr>
  </w:style>
  <w:style w:type="character" w:customStyle="1" w:styleId="34">
    <w:name w:val="引用 字符"/>
    <w:basedOn w:val="20"/>
    <w:link w:val="33"/>
    <w:qFormat/>
    <w:uiPriority w:val="29"/>
    <w:rPr>
      <w:i/>
      <w:iCs/>
      <w:color w:val="404040" w:themeColor="text1" w:themeTint="BF"/>
      <w14:textFill>
        <w14:solidFill>
          <w14:schemeClr w14:val="tx1">
            <w14:lumMod w14:val="75000"/>
            <w14:lumOff w14:val="25000"/>
          </w14:schemeClr>
        </w14:solidFill>
      </w14:textFill>
    </w:rPr>
  </w:style>
  <w:style w:type="paragraph" w:styleId="35">
    <w:name w:val="List Paragraph"/>
    <w:basedOn w:val="1"/>
    <w:qFormat/>
    <w:uiPriority w:val="34"/>
    <w:pPr>
      <w:widowControl w:val="0"/>
      <w:spacing w:after="0" w:line="240" w:lineRule="auto"/>
      <w:ind w:left="720"/>
      <w:contextualSpacing/>
      <w:jc w:val="both"/>
    </w:pPr>
    <w:rPr>
      <w:rFonts w:asciiTheme="minorHAnsi" w:hAnsiTheme="minorHAnsi" w:eastAsiaTheme="minorEastAsia" w:cstheme="minorBidi"/>
      <w:kern w:val="2"/>
      <w:sz w:val="21"/>
      <w:lang w:eastAsia="zh-CN"/>
      <w14:ligatures w14:val="standardContextual"/>
    </w:rPr>
  </w:style>
  <w:style w:type="character" w:customStyle="1" w:styleId="36">
    <w:name w:val="明显强调1"/>
    <w:basedOn w:val="20"/>
    <w:qFormat/>
    <w:uiPriority w:val="21"/>
    <w:rPr>
      <w:i/>
      <w:iCs/>
      <w:color w:val="104862" w:themeColor="accent1" w:themeShade="BF"/>
    </w:rPr>
  </w:style>
  <w:style w:type="paragraph" w:styleId="37">
    <w:name w:val="Intense Quote"/>
    <w:basedOn w:val="1"/>
    <w:next w:val="1"/>
    <w:link w:val="38"/>
    <w:qFormat/>
    <w:uiPriority w:val="30"/>
    <w:pPr>
      <w:widowControl w:val="0"/>
      <w:pBdr>
        <w:top w:val="single" w:color="0F4761" w:themeColor="accent1" w:themeShade="BF" w:sz="4" w:space="10"/>
        <w:bottom w:val="single" w:color="0F4761" w:themeColor="accent1" w:themeShade="BF" w:sz="4" w:space="10"/>
      </w:pBdr>
      <w:spacing w:before="360" w:after="360" w:line="240" w:lineRule="auto"/>
      <w:ind w:left="864" w:right="864"/>
      <w:jc w:val="center"/>
    </w:pPr>
    <w:rPr>
      <w:rFonts w:asciiTheme="minorHAnsi" w:hAnsiTheme="minorHAnsi" w:eastAsiaTheme="minorEastAsia" w:cstheme="minorBidi"/>
      <w:i/>
      <w:iCs/>
      <w:color w:val="104862" w:themeColor="accent1" w:themeShade="BF"/>
      <w:kern w:val="2"/>
      <w:sz w:val="21"/>
      <w:lang w:eastAsia="zh-CN"/>
      <w14:ligatures w14:val="standardContextual"/>
    </w:rPr>
  </w:style>
  <w:style w:type="character" w:customStyle="1" w:styleId="38">
    <w:name w:val="明显引用 字符"/>
    <w:basedOn w:val="20"/>
    <w:link w:val="37"/>
    <w:qFormat/>
    <w:uiPriority w:val="30"/>
    <w:rPr>
      <w:i/>
      <w:iCs/>
      <w:color w:val="104862" w:themeColor="accent1" w:themeShade="BF"/>
    </w:rPr>
  </w:style>
  <w:style w:type="character" w:customStyle="1" w:styleId="39">
    <w:name w:val="明显参考1"/>
    <w:basedOn w:val="20"/>
    <w:qFormat/>
    <w:uiPriority w:val="32"/>
    <w:rPr>
      <w:b/>
      <w:bCs/>
      <w:smallCaps/>
      <w:color w:val="104862" w:themeColor="accent1" w:themeShade="BF"/>
      <w:spacing w:val="5"/>
    </w:rPr>
  </w:style>
  <w:style w:type="character" w:customStyle="1" w:styleId="40">
    <w:name w:val="页眉 字符"/>
    <w:basedOn w:val="20"/>
    <w:link w:val="14"/>
    <w:qFormat/>
    <w:uiPriority w:val="99"/>
    <w:rPr>
      <w:sz w:val="18"/>
      <w:szCs w:val="18"/>
    </w:rPr>
  </w:style>
  <w:style w:type="character" w:customStyle="1" w:styleId="41">
    <w:name w:val="页脚 字符"/>
    <w:basedOn w:val="20"/>
    <w:link w:val="13"/>
    <w:qFormat/>
    <w:uiPriority w:val="99"/>
    <w:rPr>
      <w:sz w:val="18"/>
      <w:szCs w:val="18"/>
    </w:rPr>
  </w:style>
  <w:style w:type="table" w:customStyle="1" w:styleId="42">
    <w:name w:val="网格型1"/>
    <w:basedOn w:val="18"/>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43">
    <w:name w:val="批注文字 字符"/>
    <w:basedOn w:val="20"/>
    <w:link w:val="11"/>
    <w:semiHidden/>
    <w:qFormat/>
    <w:uiPriority w:val="99"/>
    <w:rPr>
      <w:rFonts w:ascii="Calibri" w:hAnsi="Calibri" w:eastAsia="宋体" w:cs="Times New Roman"/>
      <w:sz w:val="22"/>
      <w:szCs w:val="22"/>
      <w:lang w:eastAsia="en-US"/>
    </w:rPr>
  </w:style>
  <w:style w:type="character" w:customStyle="1" w:styleId="44">
    <w:name w:val="批注主题 字符"/>
    <w:basedOn w:val="43"/>
    <w:link w:val="17"/>
    <w:semiHidden/>
    <w:qFormat/>
    <w:uiPriority w:val="99"/>
    <w:rPr>
      <w:rFonts w:ascii="Calibri" w:hAnsi="Calibri" w:eastAsia="宋体" w:cs="Times New Roman"/>
      <w:b/>
      <w:bCs/>
      <w:sz w:val="22"/>
      <w:szCs w:val="22"/>
      <w:lang w:eastAsia="en-US"/>
    </w:rPr>
  </w:style>
  <w:style w:type="character" w:customStyle="1" w:styleId="45">
    <w:name w:val="批注框文本 字符"/>
    <w:basedOn w:val="20"/>
    <w:link w:val="12"/>
    <w:semiHidden/>
    <w:qFormat/>
    <w:uiPriority w:val="99"/>
    <w:rPr>
      <w:rFonts w:ascii="Calibri" w:hAnsi="Calibri" w:eastAsia="宋体" w:cs="Times New Roman"/>
      <w:sz w:val="18"/>
      <w:szCs w:val="18"/>
      <w:lang w:eastAsia="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0CF8F6-7C7C-47E4-AB78-3536F1FB4B0E}">
  <ds:schemaRefs/>
</ds:datastoreItem>
</file>

<file path=docProps/app.xml><?xml version="1.0" encoding="utf-8"?>
<Properties xmlns="http://schemas.openxmlformats.org/officeDocument/2006/extended-properties" xmlns:vt="http://schemas.openxmlformats.org/officeDocument/2006/docPropsVTypes">
  <Template>Normal</Template>
  <Pages>5</Pages>
  <Words>1813</Words>
  <Characters>2134</Characters>
  <Lines>18</Lines>
  <Paragraphs>5</Paragraphs>
  <TotalTime>122</TotalTime>
  <ScaleCrop>false</ScaleCrop>
  <LinksUpToDate>false</LinksUpToDate>
  <CharactersWithSpaces>2416</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2026-06-28T02:46:00Z</dcterms:created>
  <dc:creator>lenovo</dc:creator>
  <cp:lastModifiedBy>张帅磊</cp:lastModifiedBy>
  <cp:lastPrinted>2025-05-15T13:44:00Z</cp:lastPrinted>
  <dcterms:modified xsi:type="dcterms:W3CDTF">2026-07-29T07:58:58Z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eyJoZGlkIjoiNjYyYjlhM2M2MGNmMTIyZTcwMjdiYzk2NTYzYTc0NDciLCJ1c2VySWQiOiIxNzg0MDE3NjYyIn0=</vt:lpwstr>
  </property>
  <property fmtid="{D5CDD505-2E9C-101B-9397-08002B2CF9AE}" pid="3" name="KSOProductBuildVer">
    <vt:lpwstr>2052-12.1.0.19770</vt:lpwstr>
  </property>
  <property fmtid="{D5CDD505-2E9C-101B-9397-08002B2CF9AE}" pid="4" name="ICV">
    <vt:lpwstr>39B9B4A945B44E37ACB0D6A53D802F1C_12</vt:lpwstr>
  </property>
</Properties>
</file>