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E3DD2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eastAsia" w:ascii="黑体" w:hAnsi="黑体" w:eastAsia="黑体" w:cs="Times New Roman"/>
          <w:b/>
          <w:bCs/>
          <w:sz w:val="28"/>
          <w:szCs w:val="28"/>
        </w:rPr>
      </w:pPr>
      <w:bookmarkStart w:id="0" w:name="_Toc163474055"/>
      <w:r>
        <w:rPr>
          <w:rFonts w:hint="eastAsia" w:ascii="黑体" w:hAnsi="黑体" w:eastAsia="黑体" w:cs="Times New Roman"/>
          <w:b/>
          <w:bCs/>
          <w:sz w:val="28"/>
          <w:szCs w:val="28"/>
        </w:rPr>
        <w:t>计算机实验教学中心设备更新建设项目</w:t>
      </w:r>
    </w:p>
    <w:p w14:paraId="565D3248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eastAsia" w:ascii="黑体" w:hAnsi="黑体" w:eastAsia="黑体" w:cs="Times New Roman"/>
          <w:b/>
          <w:bCs/>
          <w:sz w:val="28"/>
          <w:szCs w:val="28"/>
        </w:rPr>
      </w:pPr>
      <w:r>
        <w:rPr>
          <w:rFonts w:hint="eastAsia" w:ascii="黑体" w:hAnsi="黑体" w:eastAsia="黑体" w:cs="Times New Roman"/>
          <w:b/>
          <w:bCs/>
          <w:sz w:val="28"/>
          <w:szCs w:val="28"/>
        </w:rPr>
        <w:t>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  <w:bookmarkEnd w:id="0"/>
    </w:p>
    <w:p w14:paraId="70A2C0C4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1、交货要求和付款方式</w:t>
      </w:r>
    </w:p>
    <w:p w14:paraId="7929E69B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1.1交货时间：合同签订后（接到甲方书面通知起）30个工作日内交货，并安装调试合格。</w:t>
      </w:r>
    </w:p>
    <w:p w14:paraId="769A1C58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1.2交货地点：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"/>
        <w:gridCol w:w="3587"/>
        <w:gridCol w:w="4421"/>
      </w:tblGrid>
      <w:tr w14:paraId="1FC86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995" w:type="dxa"/>
            <w:noWrap w:val="0"/>
            <w:vAlign w:val="top"/>
          </w:tcPr>
          <w:p w14:paraId="1BE94B73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3587" w:type="dxa"/>
            <w:noWrap w:val="0"/>
            <w:vAlign w:val="top"/>
          </w:tcPr>
          <w:p w14:paraId="0E2014D2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设备名称</w:t>
            </w:r>
          </w:p>
        </w:tc>
        <w:tc>
          <w:tcPr>
            <w:tcW w:w="4421" w:type="dxa"/>
            <w:noWrap w:val="0"/>
            <w:vAlign w:val="top"/>
          </w:tcPr>
          <w:p w14:paraId="5FFD5811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安装地点</w:t>
            </w:r>
          </w:p>
        </w:tc>
      </w:tr>
      <w:tr w14:paraId="5A95A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995" w:type="dxa"/>
            <w:noWrap w:val="0"/>
            <w:vAlign w:val="top"/>
          </w:tcPr>
          <w:p w14:paraId="4E9527EB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3587" w:type="dxa"/>
            <w:noWrap w:val="0"/>
            <w:vAlign w:val="top"/>
          </w:tcPr>
          <w:p w14:paraId="53AB56F4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台式计算机</w:t>
            </w:r>
          </w:p>
        </w:tc>
        <w:tc>
          <w:tcPr>
            <w:tcW w:w="4421" w:type="dxa"/>
            <w:noWrap w:val="0"/>
            <w:vAlign w:val="top"/>
          </w:tcPr>
          <w:p w14:paraId="5B924DBA">
            <w:pPr>
              <w:spacing w:line="360" w:lineRule="auto"/>
              <w:rPr>
                <w:rFonts w:hint="eastAsia" w:ascii="宋体" w:hAnsi="宋体" w:cs="宋体" w:eastAsiaTheme="minorEastAsia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中南大学</w:t>
            </w:r>
          </w:p>
        </w:tc>
      </w:tr>
      <w:tr w14:paraId="06042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995" w:type="dxa"/>
            <w:noWrap w:val="0"/>
            <w:vAlign w:val="top"/>
          </w:tcPr>
          <w:p w14:paraId="5FB3CD12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3587" w:type="dxa"/>
            <w:noWrap w:val="0"/>
            <w:vAlign w:val="top"/>
          </w:tcPr>
          <w:p w14:paraId="3453536C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屏风计算机桌椅</w:t>
            </w:r>
          </w:p>
        </w:tc>
        <w:tc>
          <w:tcPr>
            <w:tcW w:w="4421" w:type="dxa"/>
            <w:noWrap w:val="0"/>
            <w:vAlign w:val="top"/>
          </w:tcPr>
          <w:p w14:paraId="04ACB446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中南大学</w:t>
            </w:r>
          </w:p>
        </w:tc>
      </w:tr>
      <w:tr w14:paraId="3339C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995" w:type="dxa"/>
            <w:noWrap w:val="0"/>
            <w:vAlign w:val="top"/>
          </w:tcPr>
          <w:p w14:paraId="54DC2C7A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3587" w:type="dxa"/>
            <w:noWrap w:val="0"/>
            <w:vAlign w:val="top"/>
          </w:tcPr>
          <w:p w14:paraId="57D83B45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安装辅材</w:t>
            </w:r>
          </w:p>
        </w:tc>
        <w:tc>
          <w:tcPr>
            <w:tcW w:w="4421" w:type="dxa"/>
            <w:noWrap w:val="0"/>
            <w:vAlign w:val="top"/>
          </w:tcPr>
          <w:p w14:paraId="33E80878"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中南大学</w:t>
            </w:r>
          </w:p>
        </w:tc>
      </w:tr>
    </w:tbl>
    <w:p w14:paraId="60DB3F62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</w:p>
    <w:p w14:paraId="537EC85B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1.3付款要求：合同签订后15个工作日内，甲方支付合同金额30%作预付款。项目整体验收合格后20个工作日内，乙方将合同金额的5%付至甲方指定的账号作为项目质保金。甲方向乙方一次性支付70%合同金额款，质保金验收合格一年期满后一次性无息退还给乙方。甲方凭乙方提供的等额、法定增值税发票，向乙方付款。乙方延期提供发票，则甲方付款时间相应顺延。</w:t>
      </w:r>
    </w:p>
    <w:p w14:paraId="10E7A4B1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2、验收标准、质量保证</w:t>
      </w:r>
    </w:p>
    <w:p w14:paraId="22D91CF0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2.1投标时，备注所投设备产品出厂时铭牌标注的实际名称。中标方提供的产品应是原装正品，符合国家质量检测标准，具有出厂证明文件或国家鉴定合格证明文件。</w:t>
      </w:r>
    </w:p>
    <w:p w14:paraId="7B220274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2.2验收标准：原厂原包装，包装完好，设备外观无损；满足招标文件要求，符合用户使用的实际需求；设备清单与投标文件一致，技术参数按投标文件对应；实际使用后，运行稳定。</w:t>
      </w:r>
    </w:p>
    <w:p w14:paraId="4988A104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2.3项目验收国家有强制性规定的，按国家规定执行。验收过程中产生纠纷的，由质量技术监督部门认定的检测机构检测，如为中标方原因造成的，由中标方承担检测费用；否则，由采购人承担。项目验收不合格，由中标方返工直至合格，有关返工、再行验收，以及给采购人造成的损失等费用由中标方承担。连续两次项目验收不合格的，采购人可终止合同，另行按规定选择其他供应商采购，由此带来的一切损失由中标方承担。</w:t>
      </w:r>
    </w:p>
    <w:p w14:paraId="623BF0EE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2.4免费质保期：软硬件设备（含软件系统）免费质保五年，桌椅免费质保十年，中标方承诺的质保期长于招标文件规定时，以中标方的投标文件为准。超出生产厂家正常保修范围的，中标方需向生产厂家单独购买的，不能在投标报价中单独列支。如生产厂家质保期优于招标文件规定的，按生产厂家的质保承诺提供质保服务。</w:t>
      </w:r>
    </w:p>
    <w:p w14:paraId="0755CC9E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2.5质保内免费上门保修更换，质保期间内不收取维修费、零配件和材料费，质保期自设备安装结束，验收合格后正常运行时开始计算。超出免费质保期后，乙方支持终身维修，承诺维修时只收取部件的实际成本费。</w:t>
      </w:r>
    </w:p>
    <w:p w14:paraId="7048192C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3、售后服务</w:t>
      </w:r>
    </w:p>
    <w:p w14:paraId="59323295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3.1维护要求：提供定期维护计划、对采购人不定期维护要求的响应措施、对用户修改设计要求的响应措施。</w:t>
      </w:r>
    </w:p>
    <w:p w14:paraId="35D20795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3.2服务响应时间要求：提供7×24小时的技术咨询服务，敏感时期、重大节假日提供技术人员值守服务；提供7×24小时的故障服务受理，对重大故障提供7×24小时的现场支援，一般故障提供5×8小时/2小时内现场支援，提出解决方案，并于2小时内修复，若现场不能修复应提供同等性能备用设备。</w:t>
      </w:r>
    </w:p>
    <w:p w14:paraId="3DF547FA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3.3质保期内出现任何质量问题（人为破坏或自然灾害等不可抗力除外），由中标方负责全免费（免全部工时费、材料费、管理费、财务费等）更换或维修。质保期满后，无论采购人是否另行选择维保供应商，中标方应及时优惠提供所需的备品备件。台式计算机设备提供原厂五年保修及上门，原厂硬盘5年不返还服务，原厂400/800售后电话，第二自然日上门服务；服务响应：当日下午4点前报修，下一自然日24点前修复，若没有完成修复，则赠送延迟日数对应的月度延保服务；在三年时间内，承诺将提供1次原厂免费的尝试性故障硬盘（单盘）数据拯救服务，若未恢复则不计次数。</w:t>
      </w:r>
    </w:p>
    <w:p w14:paraId="3553973F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3.4同批设备中，若同一台设备类似故障发生两次以上，或者多台设备出现大面积相同故障现象，无条件免费更换涉及的整机。</w:t>
      </w:r>
    </w:p>
    <w:p w14:paraId="737823DB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3.5配件及耗材要求：所有新设备、利旧设备及桌椅安装时除原机配件以外，如还需辅材配件及耗材，由中标方免费提供。</w:t>
      </w:r>
    </w:p>
    <w:p w14:paraId="2208FDFD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3.6必须具备良好的服务能力。服务要求：接到报修，要求维修人员 2 小时以内解决故障。对重大故障提供7×24小时的现场支援，一般故障提供5×8小时/2小时内现场支援。免费提供所有故障设备硬件的更换、维修，免费提供软件维护、升级等技术支持服务。</w:t>
      </w:r>
    </w:p>
    <w:p w14:paraId="23C6FD87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如因故不能按期完成保修任务时，应事先与用户协商征得用户同意，并临时提供同等性能设备替换，不能影响学校教学工作，否则有权追究违约责任。每学期需对设备系统进行例行检修保养三次（学期开始，期中，期末），后期若其他多媒体设备改造项目中涉及安装调试问题，本次中标公司需免费协助支持。</w:t>
      </w:r>
    </w:p>
    <w:p w14:paraId="2F922A38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4、安装调试</w:t>
      </w:r>
    </w:p>
    <w:p w14:paraId="715E106D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4.1 设备安装要求，按照国家相关行业规范标准进行免费安装，符合国家或行业质量检验标准，。</w:t>
      </w:r>
    </w:p>
    <w:p w14:paraId="1A31EB06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（1）中标方负责产品到实施地点的全部运输，包括装卸及现场搬运等，负责新购置和旧设备在实施地点的保管，直至项目验收合格，中标方负责其派出的项目实施人员的人身意外保险。</w:t>
      </w:r>
    </w:p>
    <w:p w14:paraId="71A06FD2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（2）在安装新设备前，中标方须与用户充分沟通，对旧桌椅进行规范拆除清运，旧设备搬运至指定地点。</w:t>
      </w:r>
    </w:p>
    <w:p w14:paraId="060E38F2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4.2 中标方须在项目实施过程中须加强项目实施的组织管理，所有人员应遵守学校有关规章制度。</w:t>
      </w:r>
    </w:p>
    <w:p w14:paraId="60F44079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4.3 项目完成后，中标方应将项目有关的全部资料，包括但不限于产品资料、技术文档等移交采购人。</w:t>
      </w:r>
    </w:p>
    <w:p w14:paraId="7BE33152">
      <w:pPr>
        <w:shd w:val="clear" w:color="auto" w:fill="FFFFFF"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5、培训</w:t>
      </w:r>
    </w:p>
    <w:p w14:paraId="2ED3BD4C">
      <w:pPr>
        <w:shd w:val="clear" w:color="auto" w:fill="FFFFFF"/>
        <w:spacing w:line="360" w:lineRule="auto"/>
        <w:ind w:firstLine="420" w:firstLineChars="200"/>
        <w:jc w:val="left"/>
        <w:rPr>
          <w:rStyle w:val="23"/>
          <w:rFonts w:hint="eastAsia" w:ascii="黑体" w:hAnsi="黑体" w:cs="黑体" w:eastAsiaTheme="minorEastAsia"/>
          <w:sz w:val="32"/>
          <w:szCs w:val="32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644" w:right="1701" w:bottom="1644" w:left="1418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/>
          <w:szCs w:val="21"/>
        </w:rPr>
        <w:t>5.1中标方应按负责进行必要的人员培训，达到熟练掌握产品性能、操作技能及排除常规故障的程</w:t>
      </w:r>
      <w:r>
        <w:rPr>
          <w:rFonts w:hint="eastAsia"/>
          <w:szCs w:val="21"/>
          <w:lang w:val="en-US" w:eastAsia="zh-CN"/>
        </w:rPr>
        <w:t>度。</w:t>
      </w:r>
      <w:bookmarkStart w:id="1" w:name="_GoBack"/>
      <w:bookmarkEnd w:id="1"/>
    </w:p>
    <w:p w14:paraId="10969B55">
      <w:pPr>
        <w:pStyle w:val="7"/>
        <w:ind w:left="0" w:leftChars="0"/>
        <w:rPr>
          <w:rFonts w:hint="eastAsia" w:ascii="楷体" w:hAnsi="楷体" w:eastAsia="楷体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4C51B3">
    <w:pPr>
      <w:snapToGrid w:val="0"/>
      <w:jc w:val="left"/>
      <w:rPr>
        <w:kern w:val="0"/>
        <w:sz w:val="18"/>
        <w:szCs w:val="18"/>
      </w:rPr>
    </w:pPr>
    <w:r>
      <w:rPr>
        <w:kern w:val="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38CF13">
                          <w:pPr>
                            <w:snapToGrid w:val="0"/>
                            <w:rPr>
                              <w:rFonts w:hint="eastAsia" w:ascii="宋体" w:hAnsi="宋体"/>
                              <w:szCs w:val="21"/>
                            </w:rPr>
                          </w:pP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Cs w:val="21"/>
                            </w:rPr>
                            <w:t>7</w:t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38CF13">
                    <w:pPr>
                      <w:snapToGrid w:val="0"/>
                      <w:rPr>
                        <w:rFonts w:hint="eastAsia" w:ascii="宋体" w:hAnsi="宋体"/>
                        <w:szCs w:val="21"/>
                      </w:rPr>
                    </w:pPr>
                    <w:r>
                      <w:rPr>
                        <w:rFonts w:hint="eastAsia" w:ascii="宋体" w:hAnsi="宋体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Cs w:val="21"/>
                      </w:rPr>
                      <w:fldChar w:fldCharType="separate"/>
                    </w:r>
                    <w:r>
                      <w:rPr>
                        <w:rFonts w:ascii="宋体" w:hAnsi="宋体"/>
                        <w:szCs w:val="21"/>
                      </w:rPr>
                      <w:t>7</w:t>
                    </w:r>
                    <w:r>
                      <w:rPr>
                        <w:rFonts w:hint="eastAsia" w:ascii="宋体" w:hAnsi="宋体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B14F0C">
    <w:pPr>
      <w:snapToGrid w:val="0"/>
      <w:jc w:val="center"/>
      <w:rPr>
        <w:kern w:val="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411EE9"/>
    <w:rsid w:val="0044695A"/>
    <w:rsid w:val="005B5099"/>
    <w:rsid w:val="006B12DF"/>
    <w:rsid w:val="00936F00"/>
    <w:rsid w:val="00B629F0"/>
    <w:rsid w:val="00E90C77"/>
    <w:rsid w:val="01C51963"/>
    <w:rsid w:val="12A71E27"/>
    <w:rsid w:val="23F62CA1"/>
    <w:rsid w:val="274A6102"/>
    <w:rsid w:val="2FDE3140"/>
    <w:rsid w:val="30CF79C8"/>
    <w:rsid w:val="325D17E2"/>
    <w:rsid w:val="32C835E0"/>
    <w:rsid w:val="36276C79"/>
    <w:rsid w:val="4A2D159E"/>
    <w:rsid w:val="506F12EC"/>
    <w:rsid w:val="51241B09"/>
    <w:rsid w:val="61965C29"/>
    <w:rsid w:val="62052522"/>
    <w:rsid w:val="7F22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9"/>
    <w:unhideWhenUsed/>
    <w:qFormat/>
    <w:uiPriority w:val="0"/>
    <w:pPr>
      <w:jc w:val="left"/>
    </w:pPr>
    <w:rPr>
      <w:rFonts w:hint="eastAsia" w:ascii="Times New Roman" w:hAnsi="Times New Roman"/>
      <w:szCs w:val="24"/>
    </w:rPr>
  </w:style>
  <w:style w:type="paragraph" w:styleId="6">
    <w:name w:val="Body Text"/>
    <w:basedOn w:val="1"/>
    <w:link w:val="16"/>
    <w:unhideWhenUsed/>
    <w:qFormat/>
    <w:uiPriority w:val="99"/>
    <w:pPr>
      <w:spacing w:after="120"/>
    </w:pPr>
    <w:rPr>
      <w:rFonts w:hint="eastAsia"/>
    </w:rPr>
  </w:style>
  <w:style w:type="paragraph" w:styleId="7">
    <w:name w:val="Body Text Indent"/>
    <w:basedOn w:val="1"/>
    <w:unhideWhenUsed/>
    <w:qFormat/>
    <w:uiPriority w:val="99"/>
    <w:pPr>
      <w:spacing w:after="120"/>
      <w:ind w:left="420" w:leftChars="200"/>
    </w:pPr>
    <w:rPr>
      <w:rFonts w:ascii="宋体" w:cs="Times New Roman"/>
      <w:sz w:val="24"/>
      <w:szCs w:val="20"/>
    </w:rPr>
  </w:style>
  <w:style w:type="paragraph" w:styleId="8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"/>
    <w:basedOn w:val="6"/>
    <w:link w:val="17"/>
    <w:unhideWhenUsed/>
    <w:qFormat/>
    <w:uiPriority w:val="99"/>
    <w:pPr>
      <w:ind w:firstLine="420" w:firstLineChars="100"/>
    </w:pPr>
  </w:style>
  <w:style w:type="table" w:styleId="12">
    <w:name w:val="Table Grid"/>
    <w:basedOn w:val="11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unhideWhenUsed/>
    <w:qFormat/>
    <w:uiPriority w:val="0"/>
    <w:rPr>
      <w:rFonts w:hint="default"/>
      <w:sz w:val="21"/>
      <w:szCs w:val="24"/>
    </w:rPr>
  </w:style>
  <w:style w:type="paragraph" w:customStyle="1" w:styleId="15">
    <w:name w:val="BodyText"/>
    <w:basedOn w:val="1"/>
    <w:unhideWhenUsed/>
    <w:qFormat/>
    <w:uiPriority w:val="0"/>
    <w:pPr>
      <w:spacing w:after="120"/>
    </w:pPr>
    <w:rPr>
      <w:rFonts w:hint="eastAsia"/>
      <w:sz w:val="20"/>
      <w:szCs w:val="24"/>
    </w:rPr>
  </w:style>
  <w:style w:type="character" w:customStyle="1" w:styleId="16">
    <w:name w:val="正文文本 字符"/>
    <w:basedOn w:val="13"/>
    <w:link w:val="6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17">
    <w:name w:val="正文文本首行缩进 字符"/>
    <w:basedOn w:val="16"/>
    <w:link w:val="10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18">
    <w:name w:val="批注文字 字符"/>
    <w:basedOn w:val="13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19">
    <w:name w:val="批注文字 字符1"/>
    <w:basedOn w:val="13"/>
    <w:link w:val="5"/>
    <w:unhideWhenUsed/>
    <w:qFormat/>
    <w:uiPriority w:val="0"/>
    <w:rPr>
      <w:rFonts w:hint="eastAsia" w:ascii="Times New Roman" w:hAnsi="Times New Roman" w:eastAsia="宋体" w:cs="Times New Roman"/>
      <w:kern w:val="2"/>
      <w:sz w:val="24"/>
      <w:szCs w:val="24"/>
    </w:rPr>
  </w:style>
  <w:style w:type="character" w:customStyle="1" w:styleId="20">
    <w:name w:val="页眉 字符"/>
    <w:basedOn w:val="13"/>
    <w:link w:val="9"/>
    <w:qFormat/>
    <w:uiPriority w:val="0"/>
    <w:rPr>
      <w:kern w:val="2"/>
      <w:sz w:val="18"/>
      <w:szCs w:val="18"/>
    </w:rPr>
  </w:style>
  <w:style w:type="character" w:customStyle="1" w:styleId="21">
    <w:name w:val="页脚 字符"/>
    <w:basedOn w:val="13"/>
    <w:link w:val="8"/>
    <w:qFormat/>
    <w:uiPriority w:val="0"/>
    <w:rPr>
      <w:kern w:val="2"/>
      <w:sz w:val="18"/>
      <w:szCs w:val="18"/>
    </w:rPr>
  </w:style>
  <w:style w:type="paragraph" w:customStyle="1" w:styleId="22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3">
    <w:name w:val="标题 1 字符"/>
    <w:link w:val="2"/>
    <w:qFormat/>
    <w:uiPriority w:val="0"/>
    <w:rPr>
      <w:b/>
      <w:bCs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3613</Words>
  <Characters>3703</Characters>
  <Lines>61</Lines>
  <Paragraphs>17</Paragraphs>
  <TotalTime>1</TotalTime>
  <ScaleCrop>false</ScaleCrop>
  <LinksUpToDate>false</LinksUpToDate>
  <CharactersWithSpaces>3708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2025-03-11T00:46:00Z</dcterms:created>
  <dc:creator>WangYing</dc:creator>
  <cp:lastModifiedBy>张帅磊</cp:lastModifiedBy>
  <dcterms:modified xsi:type="dcterms:W3CDTF">2026-04-08T02:57:53Z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C2F05F8212BB49D1ABB2AE8FF80370EB_11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