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03D084">
      <w:pPr>
        <w:adjustRightInd w:val="0"/>
        <w:snapToGrid w:val="0"/>
        <w:spacing w:line="360" w:lineRule="exact"/>
        <w:jc w:val="center"/>
        <w:outlineLvl w:val="4"/>
        <w:rPr>
          <w:rFonts w:hint="eastAsia" w:ascii="宋体" w:hAnsi="宋体" w:cstheme="minorEastAsia"/>
          <w:b/>
          <w:bCs/>
          <w:sz w:val="32"/>
          <w:szCs w:val="32"/>
        </w:rPr>
      </w:pPr>
      <w:r>
        <w:rPr>
          <w:rFonts w:hint="eastAsia" w:ascii="宋体" w:hAnsi="宋体" w:cstheme="minorEastAsia"/>
          <w:b/>
          <w:bCs/>
          <w:sz w:val="32"/>
          <w:szCs w:val="32"/>
        </w:rPr>
        <w:t>导热油换热器、闪蒸罐商务要求</w:t>
      </w:r>
    </w:p>
    <w:p w14:paraId="00633AA3">
      <w:pPr>
        <w:spacing w:line="480" w:lineRule="exact"/>
        <w:ind w:firstLine="482" w:firstLineChars="200"/>
        <w:rPr>
          <w:rFonts w:hint="eastAsia" w:ascii="宋体" w:hAnsi="宋体" w:cstheme="minorEastAsia"/>
          <w:b/>
          <w:bCs/>
          <w:sz w:val="24"/>
        </w:rPr>
      </w:pPr>
      <w:r>
        <w:rPr>
          <w:rFonts w:hint="eastAsia" w:ascii="宋体" w:hAnsi="宋体" w:cstheme="minorEastAsia"/>
          <w:b/>
          <w:bCs/>
          <w:sz w:val="24"/>
        </w:rPr>
        <w:t>1.设备安装调试要求</w:t>
      </w:r>
    </w:p>
    <w:p w14:paraId="79CD3B3B">
      <w:pPr>
        <w:spacing w:line="480" w:lineRule="exact"/>
        <w:ind w:firstLine="480" w:firstLineChars="200"/>
        <w:rPr>
          <w:rFonts w:hint="eastAsia" w:ascii="宋体" w:hAnsi="宋体" w:cstheme="minorEastAsia"/>
          <w:sz w:val="24"/>
        </w:rPr>
      </w:pPr>
      <w:r>
        <w:rPr>
          <w:rFonts w:hint="eastAsia" w:ascii="宋体" w:hAnsi="宋体" w:cstheme="minorEastAsia"/>
          <w:sz w:val="24"/>
        </w:rPr>
        <w:t>1.1负责送货、卸货并搬运到指定的场地。</w:t>
      </w:r>
    </w:p>
    <w:p w14:paraId="5166333B">
      <w:pPr>
        <w:spacing w:line="480" w:lineRule="exact"/>
        <w:ind w:firstLine="480" w:firstLineChars="200"/>
        <w:rPr>
          <w:rFonts w:hint="eastAsia" w:ascii="宋体" w:hAnsi="宋体" w:cstheme="minorEastAsia"/>
          <w:sz w:val="24"/>
        </w:rPr>
      </w:pPr>
      <w:r>
        <w:rPr>
          <w:rFonts w:hint="eastAsia" w:ascii="宋体" w:hAnsi="宋体" w:cstheme="minorEastAsia"/>
          <w:sz w:val="24"/>
        </w:rPr>
        <w:t>1.2中标人应保证产品包装完整，到达指定的交货地点前未拆封。</w:t>
      </w:r>
    </w:p>
    <w:p w14:paraId="58C83CC4">
      <w:pPr>
        <w:spacing w:line="480" w:lineRule="exact"/>
        <w:ind w:firstLine="480" w:firstLineChars="200"/>
        <w:rPr>
          <w:rFonts w:hint="eastAsia" w:ascii="宋体" w:hAnsi="宋体" w:cstheme="minorEastAsia"/>
          <w:sz w:val="24"/>
        </w:rPr>
      </w:pPr>
      <w:r>
        <w:rPr>
          <w:rFonts w:hint="eastAsia" w:ascii="宋体" w:hAnsi="宋体" w:cstheme="minorEastAsia"/>
          <w:sz w:val="24"/>
        </w:rPr>
        <w:t>1.3货物应按照在采购人确定的时间在采购人所在地现场免费进行指导安装、免费配合调试及提供相应的专用工具，由此所产生的一切运费、工具费、人工费、手续费、差旅费、食宿费和加班费等，均由中标人承担。</w:t>
      </w:r>
    </w:p>
    <w:p w14:paraId="14D01F58">
      <w:pPr>
        <w:spacing w:line="480" w:lineRule="exact"/>
        <w:ind w:firstLine="480" w:firstLineChars="200"/>
        <w:rPr>
          <w:rFonts w:hint="eastAsia" w:ascii="宋体" w:hAnsi="宋体" w:cstheme="minorEastAsia"/>
          <w:sz w:val="24"/>
        </w:rPr>
      </w:pPr>
      <w:r>
        <w:rPr>
          <w:rFonts w:hint="eastAsia" w:ascii="宋体" w:hAnsi="宋体" w:cstheme="minorEastAsia"/>
          <w:sz w:val="24"/>
        </w:rPr>
        <w:t>1.4在安装期间要注意成品保护，安装期间因中标人的原因造成对采购人建筑物、构筑物、环保、绿化等破坏由中标人负责修复和赔偿。</w:t>
      </w:r>
    </w:p>
    <w:p w14:paraId="0F4F3B47">
      <w:pPr>
        <w:spacing w:line="480" w:lineRule="exact"/>
        <w:ind w:firstLine="480" w:firstLineChars="200"/>
        <w:rPr>
          <w:rFonts w:hint="eastAsia" w:ascii="宋体" w:hAnsi="宋体" w:cstheme="minorEastAsia"/>
          <w:sz w:val="24"/>
        </w:rPr>
      </w:pPr>
      <w:r>
        <w:rPr>
          <w:rFonts w:hint="eastAsia" w:ascii="宋体" w:hAnsi="宋体" w:cstheme="minorEastAsia"/>
          <w:sz w:val="24"/>
        </w:rPr>
        <w:t>1.5</w:t>
      </w:r>
      <w:r>
        <w:rPr>
          <w:rFonts w:hint="eastAsia" w:ascii="宋体" w:hAnsi="宋体" w:cstheme="minorEastAsia"/>
          <w:spacing w:val="-6"/>
          <w:sz w:val="24"/>
        </w:rPr>
        <w:t>如果因中标人产品设计的原因发生的人身伤害等责任事故，一切责任由中标人负责。</w:t>
      </w:r>
    </w:p>
    <w:p w14:paraId="6DA1D121">
      <w:pPr>
        <w:spacing w:line="480" w:lineRule="exact"/>
        <w:ind w:firstLine="480" w:firstLineChars="200"/>
        <w:rPr>
          <w:rFonts w:hint="eastAsia" w:ascii="宋体" w:hAnsi="宋体" w:cstheme="minorEastAsia"/>
          <w:sz w:val="24"/>
        </w:rPr>
      </w:pPr>
      <w:r>
        <w:rPr>
          <w:rFonts w:hint="eastAsia" w:ascii="宋体" w:hAnsi="宋体" w:cstheme="minorEastAsia"/>
          <w:sz w:val="24"/>
        </w:rPr>
        <w:t>1.6在货物安装过程中如发生货物质量问题，中标人应派人员免费提供现场更换或维修服务，由此发生的费用由中标人承担。</w:t>
      </w:r>
    </w:p>
    <w:p w14:paraId="73E0E3FC">
      <w:pPr>
        <w:spacing w:line="480" w:lineRule="exact"/>
        <w:ind w:firstLine="480" w:firstLineChars="200"/>
        <w:rPr>
          <w:rFonts w:hint="eastAsia" w:ascii="宋体" w:hAnsi="宋体" w:cstheme="minorEastAsia"/>
          <w:sz w:val="24"/>
        </w:rPr>
      </w:pPr>
      <w:r>
        <w:rPr>
          <w:rFonts w:hint="eastAsia" w:ascii="宋体" w:hAnsi="宋体" w:cstheme="minorEastAsia"/>
          <w:sz w:val="24"/>
        </w:rPr>
        <w:t>1.7由中标人提供货物安装、调试所需要的耗材。</w:t>
      </w:r>
    </w:p>
    <w:p w14:paraId="15972446">
      <w:pPr>
        <w:spacing w:line="480" w:lineRule="exact"/>
        <w:ind w:firstLine="480" w:firstLineChars="200"/>
        <w:rPr>
          <w:rFonts w:hint="eastAsia" w:ascii="宋体" w:hAnsi="宋体" w:cstheme="minorEastAsia"/>
          <w:sz w:val="24"/>
        </w:rPr>
      </w:pPr>
      <w:r>
        <w:rPr>
          <w:rFonts w:hint="eastAsia" w:ascii="宋体" w:hAnsi="宋体" w:cstheme="minorEastAsia"/>
          <w:sz w:val="24"/>
        </w:rPr>
        <w:t>1.8中标人送达产品及进行指导安装调试，应提前两天以上和采购人及采购用户单位取得联系，以便采购人及采购用户单位安排验货和配合安装调试等工作。中标人需加强安装调试过程的组织管理，所有安装调试人员需遵守文明安全操作的有关规章制度，持证上岗。</w:t>
      </w:r>
    </w:p>
    <w:p w14:paraId="6257504B">
      <w:pPr>
        <w:spacing w:line="480" w:lineRule="exact"/>
        <w:ind w:firstLine="482" w:firstLineChars="200"/>
        <w:rPr>
          <w:rFonts w:hint="eastAsia" w:ascii="宋体" w:hAnsi="宋体" w:cstheme="minorEastAsia"/>
          <w:b/>
          <w:bCs/>
          <w:sz w:val="24"/>
        </w:rPr>
      </w:pPr>
      <w:r>
        <w:rPr>
          <w:rFonts w:hint="eastAsia" w:ascii="宋体" w:hAnsi="宋体" w:cstheme="minorEastAsia"/>
          <w:b/>
          <w:bCs/>
          <w:sz w:val="24"/>
        </w:rPr>
        <w:t>2.技术支持要求</w:t>
      </w:r>
    </w:p>
    <w:p w14:paraId="4AB0364C">
      <w:pPr>
        <w:spacing w:line="480" w:lineRule="exact"/>
        <w:ind w:firstLine="480" w:firstLineChars="200"/>
        <w:rPr>
          <w:rFonts w:hint="eastAsia" w:ascii="宋体" w:hAnsi="宋体" w:cstheme="minorEastAsia"/>
          <w:sz w:val="24"/>
        </w:rPr>
      </w:pPr>
      <w:r>
        <w:rPr>
          <w:rFonts w:hint="eastAsia" w:ascii="宋体" w:hAnsi="宋体" w:cstheme="minorEastAsia"/>
          <w:sz w:val="24"/>
        </w:rPr>
        <w:t>2.1提供7×24小时的技术咨询服务。</w:t>
      </w:r>
    </w:p>
    <w:p w14:paraId="651FCE69">
      <w:pPr>
        <w:spacing w:line="480" w:lineRule="exact"/>
        <w:ind w:firstLine="480" w:firstLineChars="200"/>
        <w:rPr>
          <w:rFonts w:hint="eastAsia" w:ascii="宋体" w:hAnsi="宋体" w:cstheme="minorEastAsia"/>
          <w:sz w:val="24"/>
        </w:rPr>
      </w:pPr>
      <w:r>
        <w:rPr>
          <w:rFonts w:hint="eastAsia" w:ascii="宋体" w:hAnsi="宋体" w:cstheme="minorEastAsia"/>
          <w:sz w:val="24"/>
        </w:rPr>
        <w:t>2.2敏感时期、重大节假日提供技术人员值守服务。</w:t>
      </w:r>
    </w:p>
    <w:p w14:paraId="103E72F5">
      <w:pPr>
        <w:pStyle w:val="2"/>
        <w:spacing w:after="0" w:line="480" w:lineRule="exact"/>
        <w:ind w:firstLine="480" w:firstLineChars="200"/>
        <w:rPr>
          <w:rFonts w:hint="eastAsia" w:ascii="宋体" w:hAnsi="宋体" w:cstheme="minorEastAsia"/>
          <w:sz w:val="24"/>
        </w:rPr>
      </w:pPr>
      <w:r>
        <w:rPr>
          <w:rFonts w:hint="eastAsia" w:ascii="宋体" w:hAnsi="宋体" w:cstheme="minorEastAsia"/>
          <w:kern w:val="2"/>
          <w:sz w:val="24"/>
        </w:rPr>
        <w:t>2.3安装调试完毕提</w:t>
      </w:r>
      <w:r>
        <w:rPr>
          <w:rFonts w:hint="eastAsia" w:ascii="宋体" w:hAnsi="宋体" w:cstheme="minorEastAsia"/>
          <w:sz w:val="24"/>
        </w:rPr>
        <w:t>供设备使用手册（内含使用说明书、日常维护方式、常见问题检修等）</w:t>
      </w:r>
    </w:p>
    <w:p w14:paraId="46CCC831">
      <w:pPr>
        <w:spacing w:line="480" w:lineRule="exact"/>
        <w:ind w:firstLine="482" w:firstLineChars="200"/>
        <w:rPr>
          <w:rFonts w:hint="eastAsia" w:ascii="宋体" w:hAnsi="宋体" w:cstheme="minorEastAsia"/>
          <w:b/>
          <w:bCs/>
          <w:sz w:val="24"/>
        </w:rPr>
      </w:pPr>
      <w:r>
        <w:rPr>
          <w:rFonts w:hint="eastAsia" w:ascii="宋体" w:hAnsi="宋体" w:cstheme="minorEastAsia"/>
          <w:b/>
          <w:bCs/>
          <w:sz w:val="24"/>
        </w:rPr>
        <w:t>3.人员培训要求</w:t>
      </w:r>
    </w:p>
    <w:p w14:paraId="3928D991">
      <w:pPr>
        <w:spacing w:line="480" w:lineRule="exact"/>
        <w:ind w:firstLine="480" w:firstLineChars="200"/>
        <w:rPr>
          <w:rFonts w:hint="eastAsia" w:ascii="宋体" w:hAnsi="宋体" w:cstheme="minorEastAsia"/>
          <w:sz w:val="24"/>
        </w:rPr>
      </w:pPr>
      <w:r>
        <w:rPr>
          <w:rFonts w:hint="eastAsia" w:ascii="宋体" w:hAnsi="宋体" w:cstheme="minorEastAsia"/>
          <w:sz w:val="24"/>
        </w:rPr>
        <w:t>3.1采购人认为有必要，中标人应就货物的设计、制造、检验、调试使用和维护、设备操作，免费培训采购人技术人员，采购人受训人员的培训费用由中标人承担。</w:t>
      </w:r>
    </w:p>
    <w:p w14:paraId="6F2F5A60">
      <w:pPr>
        <w:spacing w:line="480" w:lineRule="exact"/>
        <w:ind w:firstLine="480" w:firstLineChars="200"/>
        <w:rPr>
          <w:rFonts w:hint="eastAsia" w:ascii="宋体" w:hAnsi="宋体" w:cstheme="minorEastAsia"/>
          <w:sz w:val="24"/>
        </w:rPr>
      </w:pPr>
      <w:r>
        <w:rPr>
          <w:rFonts w:hint="eastAsia" w:ascii="宋体" w:hAnsi="宋体" w:cstheme="minorEastAsia"/>
          <w:sz w:val="24"/>
        </w:rPr>
        <w:t>3.2中标人负责对采购人的有关使用、维护人员免费进行安装、操作、维护维修等技术培训，至少提供两天以上设备使用培训。</w:t>
      </w:r>
    </w:p>
    <w:p w14:paraId="06AB18C1">
      <w:pPr>
        <w:spacing w:line="480" w:lineRule="exact"/>
        <w:ind w:firstLine="480" w:firstLineChars="200"/>
        <w:rPr>
          <w:rFonts w:hint="eastAsia" w:ascii="宋体" w:hAnsi="宋体" w:cstheme="minorEastAsia"/>
          <w:sz w:val="24"/>
        </w:rPr>
      </w:pPr>
      <w:r>
        <w:rPr>
          <w:rFonts w:hint="eastAsia" w:ascii="宋体" w:hAnsi="宋体" w:cstheme="minorEastAsia"/>
          <w:sz w:val="24"/>
        </w:rPr>
        <w:t>3.3中标人应就其提供的设备及操作系统，对采购人的技术人员和维修人员进行操作和维修方面的培训，培训费用由中标人承担。</w:t>
      </w:r>
    </w:p>
    <w:p w14:paraId="6CE14B99">
      <w:pPr>
        <w:spacing w:line="480" w:lineRule="exact"/>
        <w:ind w:firstLine="480" w:firstLineChars="200"/>
        <w:rPr>
          <w:rFonts w:hint="eastAsia" w:ascii="宋体" w:hAnsi="宋体" w:cstheme="minorEastAsia"/>
          <w:sz w:val="24"/>
        </w:rPr>
      </w:pPr>
      <w:r>
        <w:rPr>
          <w:rFonts w:hint="eastAsia" w:ascii="宋体" w:hAnsi="宋体" w:cstheme="minorEastAsia"/>
          <w:sz w:val="24"/>
        </w:rPr>
        <w:t>3.4对操作人员的培训内容至少应包括操作和维护措施及故障应急措施。</w:t>
      </w:r>
    </w:p>
    <w:p w14:paraId="1A1E2239">
      <w:pPr>
        <w:spacing w:line="480" w:lineRule="exact"/>
        <w:ind w:firstLine="480" w:firstLineChars="200"/>
        <w:rPr>
          <w:rFonts w:hint="eastAsia" w:ascii="宋体" w:hAnsi="宋体" w:cstheme="minorEastAsia"/>
          <w:sz w:val="24"/>
        </w:rPr>
      </w:pPr>
      <w:r>
        <w:rPr>
          <w:rFonts w:hint="eastAsia" w:ascii="宋体" w:hAnsi="宋体" w:cstheme="minorEastAsia"/>
          <w:sz w:val="24"/>
        </w:rPr>
        <w:t>3.5培训所需费用，包括交通费、住宿费和其他费用由中标人负担，包含在报价中。</w:t>
      </w:r>
    </w:p>
    <w:p w14:paraId="11139F14">
      <w:pPr>
        <w:spacing w:line="480" w:lineRule="exact"/>
        <w:ind w:firstLine="482" w:firstLineChars="200"/>
        <w:rPr>
          <w:rFonts w:hint="eastAsia" w:ascii="宋体" w:hAnsi="宋体" w:cstheme="minorEastAsia"/>
          <w:b/>
          <w:bCs/>
          <w:sz w:val="24"/>
        </w:rPr>
      </w:pPr>
      <w:r>
        <w:rPr>
          <w:rFonts w:hint="eastAsia" w:ascii="宋体" w:hAnsi="宋体" w:cstheme="minorEastAsia"/>
          <w:b/>
          <w:bCs/>
          <w:sz w:val="24"/>
        </w:rPr>
        <w:t>4.售后服务要求</w:t>
      </w:r>
    </w:p>
    <w:p w14:paraId="38CA88D9">
      <w:pPr>
        <w:spacing w:line="480" w:lineRule="exact"/>
        <w:ind w:firstLine="480" w:firstLineChars="200"/>
        <w:rPr>
          <w:rFonts w:hint="eastAsia" w:ascii="宋体" w:hAnsi="宋体" w:cstheme="minorEastAsia"/>
          <w:sz w:val="24"/>
        </w:rPr>
      </w:pPr>
      <w:r>
        <w:rPr>
          <w:rFonts w:hint="eastAsia" w:ascii="宋体" w:hAnsi="宋体" w:cstheme="minorEastAsia"/>
          <w:sz w:val="24"/>
        </w:rPr>
        <w:t>4.1设备维护措施</w:t>
      </w:r>
    </w:p>
    <w:p w14:paraId="4CF0CAB7">
      <w:pPr>
        <w:spacing w:line="480" w:lineRule="exact"/>
        <w:ind w:firstLine="480" w:firstLineChars="200"/>
        <w:rPr>
          <w:rFonts w:hint="eastAsia" w:ascii="宋体" w:hAnsi="宋体" w:cstheme="minorEastAsia"/>
          <w:sz w:val="24"/>
        </w:rPr>
      </w:pPr>
      <w:r>
        <w:rPr>
          <w:rFonts w:hint="eastAsia" w:ascii="宋体" w:hAnsi="宋体" w:cstheme="minorEastAsia"/>
          <w:sz w:val="24"/>
        </w:rPr>
        <w:t>4.1.1定期维护计划。</w:t>
      </w:r>
    </w:p>
    <w:p w14:paraId="4C9DBF2C">
      <w:pPr>
        <w:spacing w:line="480" w:lineRule="exact"/>
        <w:ind w:firstLine="480" w:firstLineChars="200"/>
        <w:rPr>
          <w:rFonts w:hint="eastAsia" w:ascii="宋体" w:hAnsi="宋体" w:cstheme="minorEastAsia"/>
          <w:sz w:val="24"/>
        </w:rPr>
      </w:pPr>
      <w:r>
        <w:rPr>
          <w:rFonts w:hint="eastAsia" w:ascii="宋体" w:hAnsi="宋体" w:cstheme="minorEastAsia"/>
          <w:sz w:val="24"/>
        </w:rPr>
        <w:t>4.1.2对采购人不定期维护要求的响应措施。</w:t>
      </w:r>
    </w:p>
    <w:p w14:paraId="5ABBDC04">
      <w:pPr>
        <w:spacing w:line="480" w:lineRule="exact"/>
        <w:ind w:firstLine="480" w:firstLineChars="200"/>
        <w:rPr>
          <w:rFonts w:hint="eastAsia" w:ascii="宋体" w:hAnsi="宋体" w:cstheme="minorEastAsia"/>
          <w:sz w:val="24"/>
        </w:rPr>
      </w:pPr>
      <w:r>
        <w:rPr>
          <w:rFonts w:hint="eastAsia" w:ascii="宋体" w:hAnsi="宋体" w:cstheme="minorEastAsia"/>
          <w:sz w:val="24"/>
        </w:rPr>
        <w:t>4.1.3对用户修改设计要求的响应措施。</w:t>
      </w:r>
    </w:p>
    <w:p w14:paraId="73F467E8">
      <w:pPr>
        <w:spacing w:line="480" w:lineRule="exact"/>
        <w:ind w:firstLine="480" w:firstLineChars="200"/>
        <w:rPr>
          <w:rFonts w:hint="eastAsia" w:ascii="宋体" w:hAnsi="宋体" w:cstheme="minorEastAsia"/>
          <w:sz w:val="24"/>
        </w:rPr>
      </w:pPr>
      <w:r>
        <w:rPr>
          <w:rFonts w:hint="eastAsia" w:ascii="宋体" w:hAnsi="宋体" w:cstheme="minorEastAsia"/>
          <w:sz w:val="24"/>
        </w:rPr>
        <w:t>4.2故障响应时间</w:t>
      </w:r>
    </w:p>
    <w:p w14:paraId="0243230D">
      <w:pPr>
        <w:spacing w:line="480" w:lineRule="exact"/>
        <w:ind w:firstLine="480" w:firstLineChars="200"/>
        <w:rPr>
          <w:rFonts w:hint="eastAsia" w:ascii="宋体" w:hAnsi="宋体" w:cstheme="minorEastAsia"/>
          <w:sz w:val="24"/>
        </w:rPr>
      </w:pPr>
      <w:r>
        <w:rPr>
          <w:rFonts w:hint="eastAsia" w:ascii="宋体" w:hAnsi="宋体" w:cstheme="minorEastAsia"/>
          <w:sz w:val="24"/>
        </w:rPr>
        <w:t>4.2.1提供7×24小时的故障服务受理。</w:t>
      </w:r>
    </w:p>
    <w:p w14:paraId="64A44F43">
      <w:pPr>
        <w:spacing w:line="480" w:lineRule="exact"/>
        <w:ind w:firstLine="480" w:firstLineChars="200"/>
        <w:rPr>
          <w:rFonts w:hint="eastAsia" w:ascii="宋体" w:hAnsi="宋体" w:cstheme="minorEastAsia"/>
          <w:sz w:val="24"/>
        </w:rPr>
      </w:pPr>
      <w:r>
        <w:rPr>
          <w:rFonts w:hint="eastAsia" w:ascii="宋体" w:hAnsi="宋体" w:cstheme="minorEastAsia"/>
          <w:sz w:val="24"/>
        </w:rPr>
        <w:t>4.2.2对重大故障提供7×24小时的现场支援，一般故障提供5×8小时的现场支援。</w:t>
      </w:r>
    </w:p>
    <w:p w14:paraId="0E819742">
      <w:pPr>
        <w:spacing w:line="480" w:lineRule="exact"/>
        <w:ind w:firstLine="480" w:firstLineChars="200"/>
        <w:rPr>
          <w:rFonts w:hint="eastAsia" w:ascii="宋体" w:hAnsi="宋体" w:cstheme="minorEastAsia"/>
          <w:sz w:val="24"/>
        </w:rPr>
      </w:pPr>
      <w:r>
        <w:rPr>
          <w:rFonts w:hint="eastAsia" w:ascii="宋体" w:hAnsi="宋体" w:cstheme="minorEastAsia"/>
          <w:sz w:val="24"/>
        </w:rPr>
        <w:t>4.2.3设备故障报修的响应时间：在接到报修通知后，中标人应按照售后服务承诺作出响应，对于影响设备正常运行的严重故障，中标人工程师及其他相关技术人员必须在1周内赶到现场，查找原因，提供解决方案，并工作直至故障完全恢复正常服务为止，对无法修复的，必须在72小时内提供性能相当的产品供采购人使用；</w:t>
      </w:r>
    </w:p>
    <w:p w14:paraId="1C948842">
      <w:pPr>
        <w:spacing w:line="480" w:lineRule="exact"/>
        <w:ind w:firstLine="480" w:firstLineChars="200"/>
        <w:rPr>
          <w:rFonts w:hint="eastAsia" w:ascii="宋体" w:hAnsi="宋体" w:cstheme="minorEastAsia"/>
          <w:sz w:val="24"/>
        </w:rPr>
      </w:pPr>
      <w:r>
        <w:rPr>
          <w:rFonts w:hint="eastAsia" w:ascii="宋体" w:hAnsi="宋体" w:cstheme="minorEastAsia"/>
          <w:sz w:val="24"/>
        </w:rPr>
        <w:t>4.2.4中标人应保证合同项下所有产品完全是崭新未曾使用过的。在质量保证期内，中标人应负责和修理和替换不合格的部件并承担相关费用，包括部件调换的内陆运输费用，急用部件应免费空运；</w:t>
      </w:r>
    </w:p>
    <w:p w14:paraId="093C182F">
      <w:pPr>
        <w:spacing w:line="480" w:lineRule="exact"/>
        <w:ind w:firstLine="480" w:firstLineChars="200"/>
        <w:rPr>
          <w:rFonts w:hint="eastAsia" w:ascii="宋体" w:hAnsi="宋体" w:cstheme="minorEastAsia"/>
          <w:sz w:val="24"/>
        </w:rPr>
      </w:pPr>
      <w:r>
        <w:rPr>
          <w:rFonts w:hint="eastAsia" w:ascii="宋体" w:hAnsi="宋体" w:cstheme="minorEastAsia"/>
          <w:sz w:val="24"/>
        </w:rPr>
        <w:t>4.3维修与备品备件服务</w:t>
      </w:r>
    </w:p>
    <w:p w14:paraId="61786C22">
      <w:pPr>
        <w:spacing w:line="480" w:lineRule="exact"/>
        <w:ind w:firstLine="480" w:firstLineChars="200"/>
        <w:rPr>
          <w:rFonts w:hint="eastAsia" w:ascii="宋体" w:hAnsi="宋体" w:cstheme="minorEastAsia"/>
          <w:sz w:val="24"/>
        </w:rPr>
      </w:pPr>
      <w:r>
        <w:rPr>
          <w:rFonts w:hint="eastAsia" w:ascii="宋体" w:hAnsi="宋体" w:cstheme="minorEastAsia"/>
          <w:sz w:val="24"/>
        </w:rPr>
        <w:t>4.3.1质保期内出现任何质量问题（人为破坏或自然灾害等不可抗力除外），由中标人负责全免费，免费送货上门，免费指导安装、调试，由此所产生的一切材料费、工具费、人工费、手续费、差旅费、食宿费和加班费等，均由中标人承担。安装调试期间所发现一切安全和质量事故及费用，均由中标人承担。质保期满后，无论采购人是否另行选择维保供应商，中标人应及时优惠提供所需的备品备件。</w:t>
      </w:r>
    </w:p>
    <w:p w14:paraId="63D942DE">
      <w:pPr>
        <w:spacing w:line="480" w:lineRule="exact"/>
        <w:ind w:firstLine="480" w:firstLineChars="200"/>
        <w:rPr>
          <w:rFonts w:hint="eastAsia" w:ascii="宋体" w:hAnsi="宋体" w:cstheme="minorEastAsia"/>
          <w:sz w:val="24"/>
        </w:rPr>
      </w:pPr>
      <w:r>
        <w:rPr>
          <w:rFonts w:hint="eastAsia" w:ascii="宋体" w:hAnsi="宋体" w:cstheme="minorEastAsia"/>
          <w:sz w:val="24"/>
        </w:rPr>
        <w:t>4.3.2备件服务：如遇设备故障，免费替换备品备件，确保采购人的工作不受影响。若设备需要返厂维修的，需提供备用机。</w:t>
      </w:r>
    </w:p>
    <w:p w14:paraId="20E73BC8">
      <w:pPr>
        <w:spacing w:line="480" w:lineRule="exact"/>
        <w:ind w:firstLine="480" w:firstLineChars="200"/>
        <w:rPr>
          <w:rFonts w:hint="eastAsia" w:ascii="宋体" w:hAnsi="宋体" w:cstheme="minorEastAsia"/>
          <w:sz w:val="24"/>
        </w:rPr>
      </w:pPr>
      <w:r>
        <w:rPr>
          <w:rFonts w:hint="eastAsia" w:ascii="宋体" w:hAnsi="宋体" w:cstheme="minorEastAsia"/>
          <w:sz w:val="24"/>
        </w:rPr>
        <w:t>4.4技术服务信息</w:t>
      </w:r>
    </w:p>
    <w:p w14:paraId="61ED282B">
      <w:pPr>
        <w:spacing w:line="480" w:lineRule="exact"/>
        <w:ind w:firstLine="480" w:firstLineChars="200"/>
        <w:rPr>
          <w:rFonts w:hint="eastAsia" w:ascii="宋体" w:hAnsi="宋体" w:cstheme="minorEastAsia"/>
          <w:sz w:val="24"/>
        </w:rPr>
      </w:pPr>
      <w:r>
        <w:rPr>
          <w:rFonts w:hint="eastAsia" w:ascii="宋体" w:hAnsi="宋体" w:cstheme="minorEastAsia"/>
          <w:sz w:val="24"/>
        </w:rPr>
        <w:t>投标人应提供在本项目下售后服务的详细内容，其要求如下：</w:t>
      </w:r>
    </w:p>
    <w:p w14:paraId="622AE285">
      <w:pPr>
        <w:spacing w:line="480" w:lineRule="exact"/>
        <w:ind w:firstLine="480" w:firstLineChars="200"/>
        <w:rPr>
          <w:rFonts w:hint="eastAsia" w:ascii="宋体" w:hAnsi="宋体" w:cstheme="minorEastAsia"/>
          <w:sz w:val="24"/>
        </w:rPr>
      </w:pPr>
      <w:r>
        <w:rPr>
          <w:rFonts w:hint="eastAsia" w:ascii="宋体" w:hAnsi="宋体" w:cstheme="minorEastAsia"/>
          <w:sz w:val="24"/>
        </w:rPr>
        <w:t>4.4.1本项目售后服务机构名称、地址</w:t>
      </w:r>
    </w:p>
    <w:p w14:paraId="2240ED8C">
      <w:pPr>
        <w:spacing w:line="480" w:lineRule="exact"/>
        <w:ind w:firstLine="480" w:firstLineChars="200"/>
        <w:rPr>
          <w:rFonts w:hint="eastAsia" w:ascii="宋体" w:hAnsi="宋体" w:cstheme="minorEastAsia"/>
          <w:sz w:val="24"/>
        </w:rPr>
      </w:pPr>
      <w:r>
        <w:rPr>
          <w:rFonts w:hint="eastAsia" w:ascii="宋体" w:hAnsi="宋体" w:cstheme="minorEastAsia"/>
          <w:sz w:val="24"/>
        </w:rPr>
        <w:t>4.4.2本项目售后服务的负责人姓名、联系方式（电话、传真、手机）</w:t>
      </w:r>
    </w:p>
    <w:p w14:paraId="2FE5D68C">
      <w:pPr>
        <w:spacing w:line="480" w:lineRule="exact"/>
        <w:ind w:firstLine="480" w:firstLineChars="200"/>
        <w:rPr>
          <w:rFonts w:hint="eastAsia" w:ascii="宋体" w:hAnsi="宋体" w:cstheme="minorEastAsia"/>
          <w:sz w:val="24"/>
        </w:rPr>
      </w:pPr>
      <w:r>
        <w:rPr>
          <w:rFonts w:hint="eastAsia" w:ascii="宋体" w:hAnsi="宋体" w:cstheme="minorEastAsia"/>
          <w:sz w:val="24"/>
        </w:rPr>
        <w:t>4.4.3维修服务响应时间</w:t>
      </w:r>
    </w:p>
    <w:p w14:paraId="1F6485AA">
      <w:pPr>
        <w:spacing w:line="480" w:lineRule="exact"/>
        <w:ind w:firstLine="480" w:firstLineChars="200"/>
        <w:rPr>
          <w:rFonts w:hint="eastAsia" w:ascii="宋体" w:hAnsi="宋体" w:cstheme="minorEastAsia"/>
          <w:sz w:val="24"/>
        </w:rPr>
      </w:pPr>
      <w:r>
        <w:rPr>
          <w:rFonts w:hint="eastAsia" w:ascii="宋体" w:hAnsi="宋体" w:cstheme="minorEastAsia"/>
          <w:sz w:val="24"/>
        </w:rPr>
        <w:t>4.4.4解决故障的措施、方法及所需要的时间</w:t>
      </w:r>
    </w:p>
    <w:p w14:paraId="6E688533">
      <w:pPr>
        <w:spacing w:line="480" w:lineRule="exact"/>
        <w:ind w:firstLine="480" w:firstLineChars="200"/>
        <w:rPr>
          <w:rFonts w:hint="eastAsia" w:ascii="宋体" w:hAnsi="宋体" w:cstheme="minorEastAsia"/>
          <w:sz w:val="24"/>
        </w:rPr>
      </w:pPr>
      <w:r>
        <w:rPr>
          <w:rFonts w:hint="eastAsia" w:ascii="宋体" w:hAnsi="宋体" w:cstheme="minorEastAsia"/>
          <w:sz w:val="24"/>
        </w:rPr>
        <w:t>4.4.5培训方式及内容</w:t>
      </w:r>
    </w:p>
    <w:p w14:paraId="3ACAE971">
      <w:pPr>
        <w:spacing w:line="480" w:lineRule="exact"/>
        <w:ind w:firstLine="480" w:firstLineChars="200"/>
        <w:rPr>
          <w:rFonts w:hint="eastAsia" w:ascii="宋体" w:hAnsi="宋体" w:cstheme="minorEastAsia"/>
          <w:sz w:val="24"/>
        </w:rPr>
      </w:pPr>
      <w:r>
        <w:rPr>
          <w:rFonts w:hint="eastAsia" w:ascii="宋体" w:hAnsi="宋体" w:cstheme="minorEastAsia"/>
          <w:sz w:val="24"/>
        </w:rPr>
        <w:t>4.4.6保修期内及保修期外的服务收费标准</w:t>
      </w:r>
    </w:p>
    <w:p w14:paraId="156A6DE5">
      <w:pPr>
        <w:spacing w:line="480" w:lineRule="exact"/>
        <w:ind w:firstLine="480" w:firstLineChars="200"/>
        <w:rPr>
          <w:rFonts w:hint="eastAsia" w:ascii="宋体" w:hAnsi="宋体" w:cstheme="minorEastAsia"/>
          <w:sz w:val="24"/>
        </w:rPr>
      </w:pPr>
      <w:r>
        <w:rPr>
          <w:rFonts w:hint="eastAsia" w:ascii="宋体" w:hAnsi="宋体" w:cstheme="minorEastAsia"/>
          <w:sz w:val="24"/>
        </w:rPr>
        <w:t>4.4.7其他的服务内容</w:t>
      </w:r>
    </w:p>
    <w:p w14:paraId="2F069580">
      <w:pPr>
        <w:spacing w:line="480" w:lineRule="exact"/>
        <w:ind w:firstLine="482" w:firstLineChars="200"/>
        <w:rPr>
          <w:rFonts w:hint="eastAsia" w:ascii="宋体" w:hAnsi="宋体" w:cstheme="minorEastAsia"/>
          <w:b/>
          <w:bCs/>
          <w:sz w:val="24"/>
        </w:rPr>
      </w:pPr>
      <w:r>
        <w:rPr>
          <w:rFonts w:hint="eastAsia" w:ascii="宋体" w:hAnsi="宋体" w:cstheme="minorEastAsia"/>
          <w:b/>
          <w:bCs/>
          <w:sz w:val="24"/>
        </w:rPr>
        <w:t>5.其他要求及说明</w:t>
      </w:r>
    </w:p>
    <w:p w14:paraId="2AA228E4">
      <w:pPr>
        <w:spacing w:line="480" w:lineRule="exact"/>
        <w:ind w:firstLine="482" w:firstLineChars="200"/>
        <w:rPr>
          <w:rFonts w:hint="eastAsia" w:ascii="宋体" w:hAnsi="宋体" w:cstheme="minorEastAsia"/>
          <w:b/>
          <w:bCs/>
          <w:sz w:val="24"/>
        </w:rPr>
      </w:pPr>
      <w:r>
        <w:rPr>
          <w:rFonts w:hint="eastAsia" w:ascii="宋体" w:hAnsi="宋体" w:cstheme="minorEastAsia"/>
          <w:b/>
          <w:bCs/>
          <w:sz w:val="24"/>
        </w:rPr>
        <w:t>5.1交货时间及地点</w:t>
      </w:r>
    </w:p>
    <w:p w14:paraId="2A07810E">
      <w:pPr>
        <w:spacing w:line="480" w:lineRule="exact"/>
        <w:ind w:firstLine="480" w:firstLineChars="200"/>
        <w:rPr>
          <w:rFonts w:hint="eastAsia" w:ascii="宋体" w:hAnsi="宋体" w:cstheme="minorEastAsia"/>
          <w:sz w:val="24"/>
        </w:rPr>
      </w:pPr>
      <w:r>
        <w:rPr>
          <w:rFonts w:hint="eastAsia" w:ascii="宋体" w:hAnsi="宋体" w:cstheme="minorEastAsia"/>
          <w:sz w:val="24"/>
        </w:rPr>
        <w:t>5.1.1交货时间：自</w:t>
      </w:r>
      <w:r>
        <w:rPr>
          <w:rFonts w:hint="eastAsia" w:ascii="宋体" w:hAnsi="宋体" w:cstheme="minorEastAsia"/>
          <w:kern w:val="0"/>
          <w:sz w:val="24"/>
        </w:rPr>
        <w:t>签订合同之日起60个日历日内完成所有设备的安装调试并交付使用。</w:t>
      </w:r>
    </w:p>
    <w:p w14:paraId="7CEEC1D6">
      <w:pPr>
        <w:spacing w:line="480" w:lineRule="exact"/>
        <w:ind w:firstLine="480" w:firstLineChars="200"/>
        <w:rPr>
          <w:rFonts w:hint="eastAsia" w:ascii="宋体" w:hAnsi="宋体" w:cstheme="minorEastAsia"/>
          <w:sz w:val="24"/>
        </w:rPr>
      </w:pPr>
      <w:r>
        <w:rPr>
          <w:rFonts w:hint="eastAsia" w:ascii="宋体" w:hAnsi="宋体" w:cstheme="minorEastAsia"/>
          <w:sz w:val="24"/>
        </w:rPr>
        <w:t>5.1.2交货地点：指定地点。</w:t>
      </w:r>
    </w:p>
    <w:p w14:paraId="6E8F2115">
      <w:pPr>
        <w:spacing w:line="480" w:lineRule="exact"/>
        <w:ind w:firstLine="482" w:firstLineChars="200"/>
        <w:rPr>
          <w:rFonts w:hint="eastAsia" w:ascii="宋体" w:hAnsi="宋体" w:cstheme="minorEastAsia"/>
          <w:b/>
          <w:bCs/>
          <w:sz w:val="24"/>
        </w:rPr>
      </w:pPr>
      <w:r>
        <w:rPr>
          <w:rFonts w:hint="eastAsia" w:ascii="宋体" w:hAnsi="宋体" w:cstheme="minorEastAsia"/>
          <w:b/>
          <w:bCs/>
          <w:sz w:val="24"/>
        </w:rPr>
        <w:t>5.2结算方法</w:t>
      </w:r>
    </w:p>
    <w:p w14:paraId="03F503AA">
      <w:pPr>
        <w:spacing w:line="480" w:lineRule="exact"/>
        <w:ind w:firstLine="480" w:firstLineChars="200"/>
        <w:rPr>
          <w:rFonts w:hint="eastAsia" w:ascii="宋体" w:hAnsi="宋体" w:cstheme="minorEastAsia"/>
          <w:sz w:val="24"/>
        </w:rPr>
      </w:pPr>
      <w:r>
        <w:rPr>
          <w:rFonts w:hint="eastAsia" w:ascii="宋体" w:hAnsi="宋体" w:cstheme="minorEastAsia"/>
          <w:sz w:val="24"/>
        </w:rPr>
        <w:t>5.2.1付款人：中南大学</w:t>
      </w:r>
      <w:bookmarkStart w:id="0" w:name="_GoBack"/>
      <w:bookmarkEnd w:id="0"/>
    </w:p>
    <w:p w14:paraId="699A4CEC">
      <w:pPr>
        <w:spacing w:line="480" w:lineRule="exact"/>
        <w:ind w:firstLine="480" w:firstLineChars="200"/>
        <w:rPr>
          <w:rFonts w:hint="eastAsia" w:ascii="宋体" w:hAnsi="宋体" w:cstheme="minorEastAsia"/>
          <w:sz w:val="24"/>
        </w:rPr>
      </w:pPr>
      <w:r>
        <w:rPr>
          <w:rFonts w:hint="eastAsia" w:ascii="宋体" w:hAnsi="宋体" w:cstheme="minorEastAsia"/>
          <w:sz w:val="24"/>
        </w:rPr>
        <w:t>5.2.2付款方式：银行转账</w:t>
      </w:r>
    </w:p>
    <w:p w14:paraId="5F85F477">
      <w:pPr>
        <w:spacing w:line="480" w:lineRule="exact"/>
        <w:ind w:firstLine="480" w:firstLineChars="200"/>
        <w:rPr>
          <w:rFonts w:hint="eastAsia" w:ascii="宋体" w:hAnsi="宋体" w:cstheme="minorEastAsia"/>
          <w:sz w:val="24"/>
        </w:rPr>
      </w:pPr>
      <w:r>
        <w:rPr>
          <w:rFonts w:hint="eastAsia" w:ascii="宋体" w:hAnsi="宋体" w:cstheme="minorEastAsia"/>
          <w:sz w:val="24"/>
        </w:rPr>
        <w:t>5.2.3付款时间：</w:t>
      </w:r>
      <w:r>
        <w:rPr>
          <w:rFonts w:ascii="宋体" w:hAnsi="宋体" w:cstheme="minorEastAsia"/>
          <w:sz w:val="24"/>
        </w:rPr>
        <w:t>合同签订生效，卖方提供合同额</w:t>
      </w:r>
      <w:r>
        <w:rPr>
          <w:rFonts w:hint="eastAsia" w:ascii="宋体" w:hAnsi="宋体" w:cstheme="minorEastAsia"/>
          <w:sz w:val="24"/>
        </w:rPr>
        <w:t>2</w:t>
      </w:r>
      <w:r>
        <w:rPr>
          <w:rFonts w:ascii="宋体" w:hAnsi="宋体" w:cstheme="minorEastAsia"/>
          <w:sz w:val="24"/>
        </w:rPr>
        <w:t>0%的预付款银行保函并开具等额发票后10个工作日内，买方支付合同总价</w:t>
      </w:r>
      <w:r>
        <w:rPr>
          <w:rFonts w:hint="eastAsia" w:ascii="宋体" w:hAnsi="宋体" w:cstheme="minorEastAsia"/>
          <w:sz w:val="24"/>
        </w:rPr>
        <w:t>2</w:t>
      </w:r>
      <w:r>
        <w:rPr>
          <w:rFonts w:ascii="宋体" w:hAnsi="宋体" w:cstheme="minorEastAsia"/>
          <w:sz w:val="24"/>
        </w:rPr>
        <w:t>0%作为预付款。</w:t>
      </w:r>
    </w:p>
    <w:p w14:paraId="3100674D">
      <w:pPr>
        <w:spacing w:line="480" w:lineRule="exact"/>
        <w:ind w:firstLine="480" w:firstLineChars="200"/>
        <w:rPr>
          <w:rFonts w:hint="eastAsia" w:ascii="宋体" w:hAnsi="宋体" w:cstheme="minorEastAsia"/>
          <w:sz w:val="24"/>
        </w:rPr>
      </w:pPr>
      <w:r>
        <w:rPr>
          <w:rFonts w:ascii="宋体" w:hAnsi="宋体" w:cstheme="minorEastAsia"/>
          <w:sz w:val="24"/>
        </w:rPr>
        <w:t>设备制造完成、出厂检验合格、卖方发出发货通知并提供检验报告后，买方支付合同总价30%作为发货款。</w:t>
      </w:r>
    </w:p>
    <w:p w14:paraId="7787C84A">
      <w:pPr>
        <w:spacing w:line="480" w:lineRule="exact"/>
        <w:ind w:firstLine="480" w:firstLineChars="200"/>
        <w:rPr>
          <w:rFonts w:hint="eastAsia" w:ascii="宋体" w:hAnsi="宋体" w:cstheme="minorEastAsia"/>
          <w:sz w:val="24"/>
        </w:rPr>
      </w:pPr>
      <w:r>
        <w:rPr>
          <w:rFonts w:ascii="宋体" w:hAnsi="宋体" w:cstheme="minorEastAsia"/>
          <w:sz w:val="24"/>
        </w:rPr>
        <w:t>设备运抵现场、安装调试合格、试运行正常、双方签署《最终验收合格报告》，卖方开具全额发票后20个工作日内，买方支付合同总价</w:t>
      </w:r>
      <w:r>
        <w:rPr>
          <w:rFonts w:hint="eastAsia" w:ascii="宋体" w:hAnsi="宋体" w:cstheme="minorEastAsia"/>
          <w:sz w:val="24"/>
        </w:rPr>
        <w:t>4</w:t>
      </w:r>
      <w:r>
        <w:rPr>
          <w:rFonts w:ascii="宋体" w:hAnsi="宋体" w:cstheme="minorEastAsia"/>
          <w:sz w:val="24"/>
        </w:rPr>
        <w:t>0%作为验收款。</w:t>
      </w:r>
    </w:p>
    <w:p w14:paraId="2F1BBE7D">
      <w:pPr>
        <w:spacing w:line="480" w:lineRule="exact"/>
        <w:ind w:firstLine="480" w:firstLineChars="200"/>
        <w:rPr>
          <w:rFonts w:hint="eastAsia" w:ascii="宋体" w:hAnsi="宋体" w:cstheme="minorEastAsia"/>
          <w:sz w:val="24"/>
        </w:rPr>
      </w:pPr>
      <w:r>
        <w:rPr>
          <w:rFonts w:ascii="宋体" w:hAnsi="宋体" w:cstheme="minorEastAsia"/>
          <w:sz w:val="24"/>
        </w:rPr>
        <w:t>剩余合同总价10%作为</w:t>
      </w:r>
      <w:r>
        <w:rPr>
          <w:rFonts w:hint="eastAsia" w:ascii="宋体" w:hAnsi="宋体" w:cstheme="minorEastAsia"/>
          <w:sz w:val="24"/>
          <w:lang w:val="en-US" w:eastAsia="zh-CN"/>
        </w:rPr>
        <w:t>履约保证金</w:t>
      </w:r>
      <w:r>
        <w:rPr>
          <w:rFonts w:ascii="宋体" w:hAnsi="宋体" w:cstheme="minorEastAsia"/>
          <w:sz w:val="24"/>
        </w:rPr>
        <w:t>，质保期（自终验合格之日起12个月）届满且无质量问题、卖方完成全部质保服务后15个工作日内无息支付。</w:t>
      </w:r>
    </w:p>
    <w:p w14:paraId="566781C6">
      <w:pPr>
        <w:spacing w:line="480" w:lineRule="exact"/>
        <w:ind w:firstLine="480" w:firstLineChars="200"/>
        <w:rPr>
          <w:rFonts w:hint="eastAsia" w:ascii="宋体" w:hAnsi="宋体" w:cstheme="minorEastAsia"/>
          <w:sz w:val="24"/>
        </w:rPr>
      </w:pPr>
      <w:r>
        <w:rPr>
          <w:rFonts w:ascii="宋体" w:hAnsi="宋体" w:cstheme="minorEastAsia"/>
          <w:sz w:val="24"/>
        </w:rPr>
        <w:t>支付方式：银行电汇；卖方逾期交货/质量不合格，买方有权暂缓付款并追究违约责任。</w:t>
      </w:r>
    </w:p>
    <w:p w14:paraId="6455923F">
      <w:pPr>
        <w:spacing w:line="480" w:lineRule="exact"/>
        <w:ind w:firstLine="482" w:firstLineChars="200"/>
        <w:rPr>
          <w:rFonts w:hint="eastAsia" w:ascii="宋体" w:hAnsi="宋体" w:cstheme="minorEastAsia"/>
          <w:b/>
          <w:bCs/>
          <w:sz w:val="24"/>
        </w:rPr>
      </w:pPr>
      <w:r>
        <w:rPr>
          <w:rFonts w:hint="eastAsia" w:ascii="宋体" w:hAnsi="宋体" w:cstheme="minorEastAsia"/>
          <w:b/>
          <w:bCs/>
          <w:sz w:val="24"/>
        </w:rPr>
        <w:t>5.3质保期</w:t>
      </w:r>
    </w:p>
    <w:p w14:paraId="5BEA63E4">
      <w:pPr>
        <w:spacing w:line="480" w:lineRule="exact"/>
        <w:ind w:firstLine="480" w:firstLineChars="200"/>
        <w:rPr>
          <w:rFonts w:hint="eastAsia" w:ascii="宋体" w:hAnsi="宋体" w:cstheme="minorEastAsia"/>
          <w:sz w:val="24"/>
        </w:rPr>
      </w:pPr>
      <w:r>
        <w:rPr>
          <w:rFonts w:hint="eastAsia" w:ascii="宋体" w:hAnsi="宋体" w:cstheme="minorEastAsia"/>
          <w:sz w:val="24"/>
        </w:rPr>
        <w:t>货到采购方指定地点安装调试验收合格之日起，免费质保不低于3年。质保期自货物安装调试结束双方签署验收报告的次日起开始计算。质保期内发生与保修相关的一切费用由中标人承担，质保期满后采购人只承担更换配件成本费，人工费等服务费用由中标人承担；如采购人另行选择维保供应商，中标人应及时优惠提供所需的备品备件。实行售后跟踪服务，质保期内定期回访。质保期时限由中标人根据自身情况在响应文件中列明。</w:t>
      </w:r>
    </w:p>
    <w:p w14:paraId="3F8DF7B0">
      <w:pPr>
        <w:spacing w:line="480" w:lineRule="exact"/>
        <w:ind w:firstLine="482" w:firstLineChars="200"/>
        <w:rPr>
          <w:rFonts w:hint="eastAsia" w:ascii="宋体" w:hAnsi="宋体" w:cstheme="minorEastAsia"/>
          <w:b/>
          <w:bCs/>
          <w:sz w:val="24"/>
        </w:rPr>
      </w:pPr>
      <w:r>
        <w:rPr>
          <w:rFonts w:hint="eastAsia" w:ascii="宋体" w:hAnsi="宋体" w:cstheme="minorEastAsia"/>
          <w:b/>
          <w:bCs/>
          <w:sz w:val="24"/>
        </w:rPr>
        <w:t>5.4供应商资质要求</w:t>
      </w:r>
    </w:p>
    <w:p w14:paraId="5F553E12">
      <w:pPr>
        <w:pStyle w:val="2"/>
        <w:spacing w:line="360" w:lineRule="auto"/>
        <w:ind w:firstLine="480" w:firstLineChars="200"/>
        <w:rPr>
          <w:rFonts w:hint="eastAsia" w:ascii="宋体" w:hAnsi="宋体"/>
          <w:sz w:val="24"/>
        </w:rPr>
      </w:pPr>
      <w:r>
        <w:rPr>
          <w:rFonts w:hint="eastAsia" w:ascii="宋体" w:hAnsi="宋体"/>
          <w:sz w:val="24"/>
        </w:rPr>
        <w:t>（1）资质要求：供应商须提供可证明其在中华人民共和国法律范围内合法经营的营业执照，并具备压力容器制造许可D级及以上资质。</w:t>
      </w:r>
    </w:p>
    <w:p w14:paraId="643B227C">
      <w:pPr>
        <w:pStyle w:val="2"/>
        <w:spacing w:line="360" w:lineRule="auto"/>
        <w:ind w:firstLine="480" w:firstLineChars="200"/>
        <w:rPr>
          <w:rFonts w:hint="eastAsia" w:ascii="宋体" w:hAnsi="宋体"/>
          <w:sz w:val="24"/>
        </w:rPr>
      </w:pPr>
      <w:r>
        <w:rPr>
          <w:rFonts w:hint="eastAsia" w:ascii="宋体" w:hAnsi="宋体"/>
          <w:sz w:val="24"/>
        </w:rPr>
        <w:t>（2）财务要求：无。</w:t>
      </w:r>
    </w:p>
    <w:p w14:paraId="7E043165">
      <w:pPr>
        <w:pStyle w:val="2"/>
        <w:spacing w:line="360" w:lineRule="auto"/>
        <w:ind w:firstLine="480" w:firstLineChars="200"/>
        <w:rPr>
          <w:rFonts w:hint="eastAsia" w:ascii="宋体" w:hAnsi="宋体"/>
          <w:sz w:val="24"/>
        </w:rPr>
      </w:pPr>
      <w:r>
        <w:rPr>
          <w:rFonts w:hint="eastAsia" w:ascii="宋体" w:hAnsi="宋体"/>
          <w:sz w:val="24"/>
        </w:rPr>
        <w:t>（3）业绩要求：供应商需提供近3年（2023年1月至今，</w:t>
      </w:r>
      <w:r>
        <w:rPr>
          <w:rFonts w:hint="eastAsia" w:ascii="宋体" w:hAnsi="宋体"/>
          <w:bCs/>
          <w:sz w:val="24"/>
        </w:rPr>
        <w:t>按合同签订时间计算</w:t>
      </w:r>
      <w:r>
        <w:rPr>
          <w:rFonts w:hint="eastAsia" w:ascii="宋体" w:hAnsi="宋体"/>
          <w:sz w:val="24"/>
        </w:rPr>
        <w:t>）至少1项同本项目设备相关业绩。并提供业绩合同的扫描件（含合同首页、能反映服务范围页、签字页等，业绩反馈内容不全视为无效业绩）。</w:t>
      </w:r>
    </w:p>
    <w:sectPr>
      <w:pgSz w:w="11906" w:h="16838"/>
      <w:pgMar w:top="1134" w:right="1134" w:bottom="1134" w:left="1134" w:header="851" w:footer="992" w:gutter="0"/>
      <w:cols w:space="720"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等线 Light">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371E"/>
    <w:rsid w:val="0000455F"/>
    <w:rsid w:val="0022605A"/>
    <w:rsid w:val="0034056E"/>
    <w:rsid w:val="0045369F"/>
    <w:rsid w:val="00507EAD"/>
    <w:rsid w:val="007065AF"/>
    <w:rsid w:val="007D1B50"/>
    <w:rsid w:val="00821ED1"/>
    <w:rsid w:val="009976FE"/>
    <w:rsid w:val="00B170C6"/>
    <w:rsid w:val="00C35454"/>
    <w:rsid w:val="00E7371E"/>
    <w:rsid w:val="00F11DA4"/>
    <w:rsid w:val="00F770EA"/>
    <w:rsid w:val="3A3E7514"/>
    <w:rsid w:val="7E5F01C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0" w:line="240" w:lineRule="auto"/>
      <w:jc w:val="both"/>
    </w:pPr>
    <w:rPr>
      <w:rFonts w:ascii="Times New Roman" w:hAnsi="Times New Roman" w:eastAsia="宋体" w:cs="Times New Roman"/>
      <w:kern w:val="2"/>
      <w:sz w:val="21"/>
      <w:szCs w:val="24"/>
      <w:lang w:val="en-US" w:eastAsia="zh-CN" w:bidi="ar-SA"/>
      <w14:ligatures w14:val="none"/>
    </w:rPr>
  </w:style>
  <w:style w:type="paragraph" w:styleId="3">
    <w:name w:val="heading 1"/>
    <w:basedOn w:val="1"/>
    <w:next w:val="1"/>
    <w:link w:val="18"/>
    <w:qFormat/>
    <w:uiPriority w:val="9"/>
    <w:pPr>
      <w:keepNext/>
      <w:keepLines/>
      <w:spacing w:before="480" w:after="80" w:line="278" w:lineRule="auto"/>
      <w:jc w:val="left"/>
      <w:outlineLvl w:val="0"/>
    </w:pPr>
    <w:rPr>
      <w:rFonts w:asciiTheme="majorHAnsi" w:hAnsiTheme="majorHAnsi" w:eastAsiaTheme="majorEastAsia" w:cstheme="majorBidi"/>
      <w:color w:val="104862" w:themeColor="accent1" w:themeShade="BF"/>
      <w:sz w:val="48"/>
      <w:szCs w:val="48"/>
      <w14:ligatures w14:val="standardContextual"/>
    </w:rPr>
  </w:style>
  <w:style w:type="paragraph" w:styleId="4">
    <w:name w:val="heading 2"/>
    <w:basedOn w:val="1"/>
    <w:next w:val="1"/>
    <w:link w:val="19"/>
    <w:semiHidden/>
    <w:unhideWhenUsed/>
    <w:qFormat/>
    <w:uiPriority w:val="9"/>
    <w:pPr>
      <w:keepNext/>
      <w:keepLines/>
      <w:spacing w:before="160" w:after="80" w:line="278" w:lineRule="auto"/>
      <w:jc w:val="left"/>
      <w:outlineLvl w:val="1"/>
    </w:pPr>
    <w:rPr>
      <w:rFonts w:asciiTheme="majorHAnsi" w:hAnsiTheme="majorHAnsi" w:eastAsiaTheme="majorEastAsia" w:cstheme="majorBidi"/>
      <w:color w:val="104862" w:themeColor="accent1" w:themeShade="BF"/>
      <w:sz w:val="40"/>
      <w:szCs w:val="40"/>
      <w14:ligatures w14:val="standardContextual"/>
    </w:rPr>
  </w:style>
  <w:style w:type="paragraph" w:styleId="5">
    <w:name w:val="heading 3"/>
    <w:basedOn w:val="1"/>
    <w:next w:val="1"/>
    <w:link w:val="20"/>
    <w:semiHidden/>
    <w:unhideWhenUsed/>
    <w:qFormat/>
    <w:uiPriority w:val="9"/>
    <w:pPr>
      <w:keepNext/>
      <w:keepLines/>
      <w:spacing w:before="160" w:after="80" w:line="278" w:lineRule="auto"/>
      <w:jc w:val="left"/>
      <w:outlineLvl w:val="2"/>
    </w:pPr>
    <w:rPr>
      <w:rFonts w:asciiTheme="majorHAnsi" w:hAnsiTheme="majorHAnsi" w:eastAsiaTheme="majorEastAsia" w:cstheme="majorBidi"/>
      <w:color w:val="104862" w:themeColor="accent1" w:themeShade="BF"/>
      <w:sz w:val="32"/>
      <w:szCs w:val="32"/>
      <w14:ligatures w14:val="standardContextual"/>
    </w:rPr>
  </w:style>
  <w:style w:type="paragraph" w:styleId="6">
    <w:name w:val="heading 4"/>
    <w:basedOn w:val="1"/>
    <w:next w:val="1"/>
    <w:link w:val="21"/>
    <w:semiHidden/>
    <w:unhideWhenUsed/>
    <w:qFormat/>
    <w:uiPriority w:val="9"/>
    <w:pPr>
      <w:keepNext/>
      <w:keepLines/>
      <w:spacing w:before="80" w:after="40" w:line="278" w:lineRule="auto"/>
      <w:jc w:val="left"/>
      <w:outlineLvl w:val="3"/>
    </w:pPr>
    <w:rPr>
      <w:rFonts w:asciiTheme="minorHAnsi" w:hAnsiTheme="minorHAnsi" w:eastAsiaTheme="minorEastAsia" w:cstheme="majorBidi"/>
      <w:color w:val="104862" w:themeColor="accent1" w:themeShade="BF"/>
      <w:sz w:val="28"/>
      <w:szCs w:val="28"/>
      <w14:ligatures w14:val="standardContextual"/>
    </w:rPr>
  </w:style>
  <w:style w:type="paragraph" w:styleId="7">
    <w:name w:val="heading 5"/>
    <w:basedOn w:val="1"/>
    <w:next w:val="1"/>
    <w:link w:val="22"/>
    <w:semiHidden/>
    <w:unhideWhenUsed/>
    <w:qFormat/>
    <w:uiPriority w:val="9"/>
    <w:pPr>
      <w:keepNext/>
      <w:keepLines/>
      <w:spacing w:before="80" w:after="40" w:line="278" w:lineRule="auto"/>
      <w:jc w:val="left"/>
      <w:outlineLvl w:val="4"/>
    </w:pPr>
    <w:rPr>
      <w:rFonts w:asciiTheme="minorHAnsi" w:hAnsiTheme="minorHAnsi" w:eastAsiaTheme="minorEastAsia" w:cstheme="majorBidi"/>
      <w:color w:val="104862" w:themeColor="accent1" w:themeShade="BF"/>
      <w:sz w:val="24"/>
      <w14:ligatures w14:val="standardContextual"/>
    </w:rPr>
  </w:style>
  <w:style w:type="paragraph" w:styleId="8">
    <w:name w:val="heading 6"/>
    <w:basedOn w:val="1"/>
    <w:next w:val="1"/>
    <w:link w:val="23"/>
    <w:semiHidden/>
    <w:unhideWhenUsed/>
    <w:qFormat/>
    <w:uiPriority w:val="9"/>
    <w:pPr>
      <w:keepNext/>
      <w:keepLines/>
      <w:spacing w:before="40" w:line="278" w:lineRule="auto"/>
      <w:jc w:val="left"/>
      <w:outlineLvl w:val="5"/>
    </w:pPr>
    <w:rPr>
      <w:rFonts w:asciiTheme="minorHAnsi" w:hAnsiTheme="minorHAnsi" w:eastAsiaTheme="minorEastAsia" w:cstheme="majorBidi"/>
      <w:b/>
      <w:bCs/>
      <w:color w:val="104862" w:themeColor="accent1" w:themeShade="BF"/>
      <w:sz w:val="22"/>
      <w14:ligatures w14:val="standardContextual"/>
    </w:rPr>
  </w:style>
  <w:style w:type="paragraph" w:styleId="9">
    <w:name w:val="heading 7"/>
    <w:basedOn w:val="1"/>
    <w:next w:val="1"/>
    <w:link w:val="24"/>
    <w:semiHidden/>
    <w:unhideWhenUsed/>
    <w:qFormat/>
    <w:uiPriority w:val="9"/>
    <w:pPr>
      <w:keepNext/>
      <w:keepLines/>
      <w:spacing w:before="40" w:line="278" w:lineRule="auto"/>
      <w:jc w:val="left"/>
      <w:outlineLvl w:val="6"/>
    </w:pPr>
    <w:rPr>
      <w:rFonts w:asciiTheme="minorHAnsi" w:hAnsiTheme="minorHAnsi" w:eastAsiaTheme="minorEastAsia" w:cstheme="majorBidi"/>
      <w:b/>
      <w:bCs/>
      <w:color w:val="595959" w:themeColor="text1" w:themeTint="A6"/>
      <w:sz w:val="22"/>
      <w14:textFill>
        <w14:solidFill>
          <w14:schemeClr w14:val="tx1">
            <w14:lumMod w14:val="65000"/>
            <w14:lumOff w14:val="35000"/>
          </w14:schemeClr>
        </w14:solidFill>
      </w14:textFill>
      <w14:ligatures w14:val="standardContextual"/>
    </w:rPr>
  </w:style>
  <w:style w:type="paragraph" w:styleId="10">
    <w:name w:val="heading 8"/>
    <w:basedOn w:val="1"/>
    <w:next w:val="1"/>
    <w:link w:val="25"/>
    <w:semiHidden/>
    <w:unhideWhenUsed/>
    <w:qFormat/>
    <w:uiPriority w:val="9"/>
    <w:pPr>
      <w:keepNext/>
      <w:keepLines/>
      <w:spacing w:line="278" w:lineRule="auto"/>
      <w:jc w:val="left"/>
      <w:outlineLvl w:val="7"/>
    </w:pPr>
    <w:rPr>
      <w:rFonts w:asciiTheme="minorHAnsi" w:hAnsiTheme="minorHAnsi" w:eastAsiaTheme="minorEastAsia" w:cstheme="majorBidi"/>
      <w:color w:val="595959" w:themeColor="text1" w:themeTint="A6"/>
      <w:sz w:val="22"/>
      <w14:textFill>
        <w14:solidFill>
          <w14:schemeClr w14:val="tx1">
            <w14:lumMod w14:val="65000"/>
            <w14:lumOff w14:val="35000"/>
          </w14:schemeClr>
        </w14:solidFill>
      </w14:textFill>
      <w14:ligatures w14:val="standardContextual"/>
    </w:rPr>
  </w:style>
  <w:style w:type="paragraph" w:styleId="11">
    <w:name w:val="heading 9"/>
    <w:basedOn w:val="1"/>
    <w:next w:val="1"/>
    <w:link w:val="26"/>
    <w:semiHidden/>
    <w:unhideWhenUsed/>
    <w:qFormat/>
    <w:uiPriority w:val="9"/>
    <w:pPr>
      <w:keepNext/>
      <w:keepLines/>
      <w:spacing w:line="278" w:lineRule="auto"/>
      <w:jc w:val="left"/>
      <w:outlineLvl w:val="8"/>
    </w:pPr>
    <w:rPr>
      <w:rFonts w:asciiTheme="minorHAnsi" w:hAnsiTheme="minorHAnsi" w:eastAsiaTheme="majorEastAsia" w:cstheme="majorBidi"/>
      <w:color w:val="595959" w:themeColor="text1" w:themeTint="A6"/>
      <w:sz w:val="22"/>
      <w14:textFill>
        <w14:solidFill>
          <w14:schemeClr w14:val="tx1">
            <w14:lumMod w14:val="65000"/>
            <w14:lumOff w14:val="35000"/>
          </w14:schemeClr>
        </w14:solidFill>
      </w14:textFill>
      <w14:ligatures w14:val="standardContextual"/>
    </w:rPr>
  </w:style>
  <w:style w:type="character" w:default="1" w:styleId="17">
    <w:name w:val="Default Paragraph Font"/>
    <w:semiHidden/>
    <w:unhideWhenUsed/>
    <w:qFormat/>
    <w:uiPriority w:val="1"/>
  </w:style>
  <w:style w:type="table" w:default="1" w:styleId="16">
    <w:name w:val="Normal Table"/>
    <w:semiHidden/>
    <w:unhideWhenUsed/>
    <w:qFormat/>
    <w:uiPriority w:val="99"/>
    <w:tblPr>
      <w:tblCellMar>
        <w:top w:w="0" w:type="dxa"/>
        <w:left w:w="108" w:type="dxa"/>
        <w:bottom w:w="0" w:type="dxa"/>
        <w:right w:w="108" w:type="dxa"/>
      </w:tblCellMar>
    </w:tblPr>
  </w:style>
  <w:style w:type="paragraph" w:styleId="2">
    <w:name w:val="Body Text"/>
    <w:basedOn w:val="1"/>
    <w:link w:val="38"/>
    <w:qFormat/>
    <w:uiPriority w:val="0"/>
    <w:pPr>
      <w:spacing w:after="120"/>
    </w:pPr>
    <w:rPr>
      <w:kern w:val="0"/>
      <w:sz w:val="20"/>
    </w:rPr>
  </w:style>
  <w:style w:type="paragraph" w:styleId="12">
    <w:name w:val="footer"/>
    <w:basedOn w:val="1"/>
    <w:link w:val="37"/>
    <w:unhideWhenUsed/>
    <w:qFormat/>
    <w:uiPriority w:val="99"/>
    <w:pPr>
      <w:tabs>
        <w:tab w:val="center" w:pos="4153"/>
        <w:tab w:val="right" w:pos="8306"/>
      </w:tabs>
      <w:snapToGrid w:val="0"/>
      <w:spacing w:after="160"/>
      <w:jc w:val="left"/>
    </w:pPr>
    <w:rPr>
      <w:rFonts w:asciiTheme="minorHAnsi" w:hAnsiTheme="minorHAnsi" w:eastAsiaTheme="minorEastAsia" w:cstheme="minorBidi"/>
      <w:sz w:val="18"/>
      <w:szCs w:val="18"/>
      <w14:ligatures w14:val="standardContextual"/>
    </w:rPr>
  </w:style>
  <w:style w:type="paragraph" w:styleId="13">
    <w:name w:val="header"/>
    <w:basedOn w:val="1"/>
    <w:link w:val="36"/>
    <w:unhideWhenUsed/>
    <w:qFormat/>
    <w:uiPriority w:val="99"/>
    <w:pPr>
      <w:tabs>
        <w:tab w:val="center" w:pos="4153"/>
        <w:tab w:val="right" w:pos="8306"/>
      </w:tabs>
      <w:snapToGrid w:val="0"/>
      <w:spacing w:after="160"/>
      <w:jc w:val="center"/>
    </w:pPr>
    <w:rPr>
      <w:rFonts w:asciiTheme="minorHAnsi" w:hAnsiTheme="minorHAnsi" w:eastAsiaTheme="minorEastAsia" w:cstheme="minorBidi"/>
      <w:sz w:val="18"/>
      <w:szCs w:val="18"/>
      <w14:ligatures w14:val="standardContextual"/>
    </w:rPr>
  </w:style>
  <w:style w:type="paragraph" w:styleId="14">
    <w:name w:val="Subtitle"/>
    <w:basedOn w:val="1"/>
    <w:next w:val="1"/>
    <w:link w:val="28"/>
    <w:qFormat/>
    <w:uiPriority w:val="11"/>
    <w:pPr>
      <w:spacing w:after="160" w:line="278" w:lineRule="auto"/>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14:ligatures w14:val="standardContextual"/>
    </w:rPr>
  </w:style>
  <w:style w:type="paragraph" w:styleId="15">
    <w:name w:val="Title"/>
    <w:basedOn w:val="1"/>
    <w:next w:val="1"/>
    <w:link w:val="27"/>
    <w:qFormat/>
    <w:uiPriority w:val="10"/>
    <w:pPr>
      <w:spacing w:after="80"/>
      <w:contextualSpacing/>
      <w:jc w:val="center"/>
    </w:pPr>
    <w:rPr>
      <w:rFonts w:asciiTheme="majorHAnsi" w:hAnsiTheme="majorHAnsi" w:eastAsiaTheme="majorEastAsia" w:cstheme="majorBidi"/>
      <w:spacing w:val="-10"/>
      <w:kern w:val="28"/>
      <w:sz w:val="56"/>
      <w:szCs w:val="56"/>
      <w14:ligatures w14:val="standardContextual"/>
    </w:rPr>
  </w:style>
  <w:style w:type="character" w:customStyle="1" w:styleId="18">
    <w:name w:val="标题 1 字符"/>
    <w:basedOn w:val="17"/>
    <w:link w:val="3"/>
    <w:qFormat/>
    <w:uiPriority w:val="9"/>
    <w:rPr>
      <w:rFonts w:asciiTheme="majorHAnsi" w:hAnsiTheme="majorHAnsi" w:eastAsiaTheme="majorEastAsia" w:cstheme="majorBidi"/>
      <w:color w:val="104862" w:themeColor="accent1" w:themeShade="BF"/>
      <w:sz w:val="48"/>
      <w:szCs w:val="48"/>
    </w:rPr>
  </w:style>
  <w:style w:type="character" w:customStyle="1" w:styleId="19">
    <w:name w:val="标题 2 字符"/>
    <w:basedOn w:val="17"/>
    <w:link w:val="4"/>
    <w:semiHidden/>
    <w:qFormat/>
    <w:uiPriority w:val="9"/>
    <w:rPr>
      <w:rFonts w:asciiTheme="majorHAnsi" w:hAnsiTheme="majorHAnsi" w:eastAsiaTheme="majorEastAsia" w:cstheme="majorBidi"/>
      <w:color w:val="104862" w:themeColor="accent1" w:themeShade="BF"/>
      <w:sz w:val="40"/>
      <w:szCs w:val="40"/>
    </w:rPr>
  </w:style>
  <w:style w:type="character" w:customStyle="1" w:styleId="20">
    <w:name w:val="标题 3 字符"/>
    <w:basedOn w:val="17"/>
    <w:link w:val="5"/>
    <w:semiHidden/>
    <w:qFormat/>
    <w:uiPriority w:val="9"/>
    <w:rPr>
      <w:rFonts w:asciiTheme="majorHAnsi" w:hAnsiTheme="majorHAnsi" w:eastAsiaTheme="majorEastAsia" w:cstheme="majorBidi"/>
      <w:color w:val="104862" w:themeColor="accent1" w:themeShade="BF"/>
      <w:sz w:val="32"/>
      <w:szCs w:val="32"/>
    </w:rPr>
  </w:style>
  <w:style w:type="character" w:customStyle="1" w:styleId="21">
    <w:name w:val="标题 4 字符"/>
    <w:basedOn w:val="17"/>
    <w:link w:val="6"/>
    <w:semiHidden/>
    <w:qFormat/>
    <w:uiPriority w:val="9"/>
    <w:rPr>
      <w:rFonts w:cstheme="majorBidi"/>
      <w:color w:val="104862" w:themeColor="accent1" w:themeShade="BF"/>
      <w:sz w:val="28"/>
      <w:szCs w:val="28"/>
    </w:rPr>
  </w:style>
  <w:style w:type="character" w:customStyle="1" w:styleId="22">
    <w:name w:val="标题 5 字符"/>
    <w:basedOn w:val="17"/>
    <w:link w:val="7"/>
    <w:semiHidden/>
    <w:qFormat/>
    <w:uiPriority w:val="9"/>
    <w:rPr>
      <w:rFonts w:cstheme="majorBidi"/>
      <w:color w:val="104862" w:themeColor="accent1" w:themeShade="BF"/>
      <w:sz w:val="24"/>
    </w:rPr>
  </w:style>
  <w:style w:type="character" w:customStyle="1" w:styleId="23">
    <w:name w:val="标题 6 字符"/>
    <w:basedOn w:val="17"/>
    <w:link w:val="8"/>
    <w:semiHidden/>
    <w:qFormat/>
    <w:uiPriority w:val="9"/>
    <w:rPr>
      <w:rFonts w:cstheme="majorBidi"/>
      <w:b/>
      <w:bCs/>
      <w:color w:val="104862" w:themeColor="accent1" w:themeShade="BF"/>
    </w:rPr>
  </w:style>
  <w:style w:type="character" w:customStyle="1" w:styleId="24">
    <w:name w:val="标题 7 字符"/>
    <w:basedOn w:val="17"/>
    <w:link w:val="9"/>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5">
    <w:name w:val="标题 8 字符"/>
    <w:basedOn w:val="17"/>
    <w:link w:val="10"/>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26">
    <w:name w:val="标题 9 字符"/>
    <w:basedOn w:val="17"/>
    <w:link w:val="11"/>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7">
    <w:name w:val="标题 字符"/>
    <w:basedOn w:val="17"/>
    <w:link w:val="15"/>
    <w:qFormat/>
    <w:uiPriority w:val="10"/>
    <w:rPr>
      <w:rFonts w:asciiTheme="majorHAnsi" w:hAnsiTheme="majorHAnsi" w:eastAsiaTheme="majorEastAsia" w:cstheme="majorBidi"/>
      <w:spacing w:val="-10"/>
      <w:kern w:val="28"/>
      <w:sz w:val="56"/>
      <w:szCs w:val="56"/>
    </w:rPr>
  </w:style>
  <w:style w:type="character" w:customStyle="1" w:styleId="28">
    <w:name w:val="副标题 字符"/>
    <w:basedOn w:val="17"/>
    <w:link w:val="14"/>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9">
    <w:name w:val="Quote"/>
    <w:basedOn w:val="1"/>
    <w:next w:val="1"/>
    <w:link w:val="30"/>
    <w:qFormat/>
    <w:uiPriority w:val="29"/>
    <w:pPr>
      <w:spacing w:before="160" w:after="160" w:line="278" w:lineRule="auto"/>
      <w:jc w:val="center"/>
    </w:pPr>
    <w:rPr>
      <w:rFonts w:asciiTheme="minorHAnsi" w:hAnsiTheme="minorHAnsi" w:eastAsiaTheme="minorEastAsia" w:cstheme="minorBidi"/>
      <w:i/>
      <w:iCs/>
      <w:color w:val="404040" w:themeColor="text1" w:themeTint="BF"/>
      <w:sz w:val="22"/>
      <w14:textFill>
        <w14:solidFill>
          <w14:schemeClr w14:val="tx1">
            <w14:lumMod w14:val="75000"/>
            <w14:lumOff w14:val="25000"/>
          </w14:schemeClr>
        </w14:solidFill>
      </w14:textFill>
      <w14:ligatures w14:val="standardContextual"/>
    </w:rPr>
  </w:style>
  <w:style w:type="character" w:customStyle="1" w:styleId="30">
    <w:name w:val="引用 字符"/>
    <w:basedOn w:val="17"/>
    <w:link w:val="29"/>
    <w:qFormat/>
    <w:uiPriority w:val="29"/>
    <w:rPr>
      <w:i/>
      <w:iCs/>
      <w:color w:val="404040" w:themeColor="text1" w:themeTint="BF"/>
      <w14:textFill>
        <w14:solidFill>
          <w14:schemeClr w14:val="tx1">
            <w14:lumMod w14:val="75000"/>
            <w14:lumOff w14:val="25000"/>
          </w14:schemeClr>
        </w14:solidFill>
      </w14:textFill>
    </w:rPr>
  </w:style>
  <w:style w:type="paragraph" w:styleId="31">
    <w:name w:val="List Paragraph"/>
    <w:basedOn w:val="1"/>
    <w:qFormat/>
    <w:uiPriority w:val="34"/>
    <w:pPr>
      <w:spacing w:after="160" w:line="278" w:lineRule="auto"/>
      <w:ind w:left="720"/>
      <w:contextualSpacing/>
      <w:jc w:val="left"/>
    </w:pPr>
    <w:rPr>
      <w:rFonts w:asciiTheme="minorHAnsi" w:hAnsiTheme="minorHAnsi" w:eastAsiaTheme="minorEastAsia" w:cstheme="minorBidi"/>
      <w:sz w:val="22"/>
      <w14:ligatures w14:val="standardContextual"/>
    </w:rPr>
  </w:style>
  <w:style w:type="character" w:customStyle="1" w:styleId="32">
    <w:name w:val="Intense Emphasis"/>
    <w:basedOn w:val="17"/>
    <w:qFormat/>
    <w:uiPriority w:val="21"/>
    <w:rPr>
      <w:i/>
      <w:iCs/>
      <w:color w:val="104862" w:themeColor="accent1" w:themeShade="BF"/>
    </w:rPr>
  </w:style>
  <w:style w:type="paragraph" w:styleId="33">
    <w:name w:val="Intense Quote"/>
    <w:basedOn w:val="1"/>
    <w:next w:val="1"/>
    <w:link w:val="34"/>
    <w:qFormat/>
    <w:uiPriority w:val="30"/>
    <w:pPr>
      <w:pBdr>
        <w:top w:val="single" w:color="0F4761" w:themeColor="accent1" w:themeShade="BF" w:sz="4" w:space="10"/>
        <w:bottom w:val="single" w:color="0F4761" w:themeColor="accent1" w:themeShade="BF" w:sz="4" w:space="10"/>
      </w:pBdr>
      <w:spacing w:before="360" w:after="360" w:line="278" w:lineRule="auto"/>
      <w:ind w:left="864" w:right="864"/>
      <w:jc w:val="center"/>
    </w:pPr>
    <w:rPr>
      <w:rFonts w:asciiTheme="minorHAnsi" w:hAnsiTheme="minorHAnsi" w:eastAsiaTheme="minorEastAsia" w:cstheme="minorBidi"/>
      <w:i/>
      <w:iCs/>
      <w:color w:val="104862" w:themeColor="accent1" w:themeShade="BF"/>
      <w:sz w:val="22"/>
      <w14:ligatures w14:val="standardContextual"/>
    </w:rPr>
  </w:style>
  <w:style w:type="character" w:customStyle="1" w:styleId="34">
    <w:name w:val="明显引用 字符"/>
    <w:basedOn w:val="17"/>
    <w:link w:val="33"/>
    <w:qFormat/>
    <w:uiPriority w:val="30"/>
    <w:rPr>
      <w:i/>
      <w:iCs/>
      <w:color w:val="104862" w:themeColor="accent1" w:themeShade="BF"/>
    </w:rPr>
  </w:style>
  <w:style w:type="character" w:customStyle="1" w:styleId="35">
    <w:name w:val="Intense Reference"/>
    <w:basedOn w:val="17"/>
    <w:qFormat/>
    <w:uiPriority w:val="32"/>
    <w:rPr>
      <w:b/>
      <w:bCs/>
      <w:smallCaps/>
      <w:color w:val="104862" w:themeColor="accent1" w:themeShade="BF"/>
      <w:spacing w:val="5"/>
    </w:rPr>
  </w:style>
  <w:style w:type="character" w:customStyle="1" w:styleId="36">
    <w:name w:val="页眉 字符"/>
    <w:basedOn w:val="17"/>
    <w:link w:val="13"/>
    <w:qFormat/>
    <w:uiPriority w:val="99"/>
    <w:rPr>
      <w:sz w:val="18"/>
      <w:szCs w:val="18"/>
    </w:rPr>
  </w:style>
  <w:style w:type="character" w:customStyle="1" w:styleId="37">
    <w:name w:val="页脚 字符"/>
    <w:basedOn w:val="17"/>
    <w:link w:val="12"/>
    <w:qFormat/>
    <w:uiPriority w:val="99"/>
    <w:rPr>
      <w:sz w:val="18"/>
      <w:szCs w:val="18"/>
    </w:rPr>
  </w:style>
  <w:style w:type="character" w:customStyle="1" w:styleId="38">
    <w:name w:val="正文文本 字符"/>
    <w:basedOn w:val="17"/>
    <w:link w:val="2"/>
    <w:qFormat/>
    <w:uiPriority w:val="0"/>
    <w:rPr>
      <w:rFonts w:ascii="Times New Roman" w:hAnsi="Times New Roman" w:eastAsia="宋体" w:cs="Times New Roman"/>
      <w:kern w:val="0"/>
      <w:sz w:val="20"/>
      <w14:ligatures w14:val="none"/>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2265</Words>
  <Characters>2424</Characters>
  <Lines>49</Lines>
  <Paragraphs>60</Paragraphs>
  <TotalTime>11</TotalTime>
  <ScaleCrop>false</ScaleCrop>
  <LinksUpToDate>false</LinksUpToDate>
  <CharactersWithSpaces>2424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2026-03-09T14:53:00Z</dcterms:created>
  <dc:creator>A4094</dc:creator>
  <cp:lastModifiedBy>张帅磊</cp:lastModifiedBy>
  <dcterms:modified xsi:type="dcterms:W3CDTF">2026-05-18T09:22:08Z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eyJoZGlkIjoiNGZlOTE3NmU2NzYzNTkyZTM0ZGY1NTZkYTk3ZTdkYmIiLCJ1c2VySWQiOiIxNzg0MDE3NjYyIn0=</vt:lpwstr>
  </property>
  <property fmtid="{D5CDD505-2E9C-101B-9397-08002B2CF9AE}" pid="3" name="KSOProductBuildVer">
    <vt:lpwstr>2052-12.1.0.23542</vt:lpwstr>
  </property>
  <property fmtid="{D5CDD505-2E9C-101B-9397-08002B2CF9AE}" pid="4" name="ICV">
    <vt:lpwstr>6D9F3C2A8E4F4093A56AE64C9435720F_12</vt:lpwstr>
  </property>
</Properties>
</file>