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D59A0" w14:textId="77777777" w:rsidR="00FA5FC9" w:rsidRDefault="00000000">
      <w:pPr>
        <w:jc w:val="center"/>
        <w:rPr>
          <w:rFonts w:asciiTheme="minorEastAsia" w:eastAsiaTheme="minorEastAsia" w:hAnsiTheme="minorEastAsia" w:cs="宋体" w:hint="eastAsia"/>
          <w:b/>
          <w:bCs/>
          <w:sz w:val="44"/>
          <w:szCs w:val="44"/>
        </w:rPr>
      </w:pPr>
      <w:r>
        <w:rPr>
          <w:rFonts w:asciiTheme="minorEastAsia" w:eastAsiaTheme="minorEastAsia" w:hAnsiTheme="minorEastAsia" w:cs="宋体" w:hint="eastAsia"/>
          <w:b/>
          <w:bCs/>
          <w:sz w:val="44"/>
          <w:szCs w:val="44"/>
        </w:rPr>
        <w:t>导热油换热器、闪蒸罐</w:t>
      </w:r>
    </w:p>
    <w:p w14:paraId="08540168" w14:textId="77777777" w:rsidR="00FA5FC9" w:rsidRDefault="00000000">
      <w:pPr>
        <w:jc w:val="center"/>
        <w:rPr>
          <w:rFonts w:asciiTheme="minorEastAsia" w:eastAsiaTheme="minorEastAsia" w:hAnsiTheme="minorEastAsia" w:cstheme="minorEastAsia" w:hint="eastAsia"/>
          <w:b/>
          <w:bCs/>
          <w:kern w:val="0"/>
          <w:sz w:val="44"/>
          <w:szCs w:val="44"/>
          <w:lang w:bidi="ar"/>
        </w:rPr>
      </w:pPr>
      <w:r>
        <w:rPr>
          <w:rFonts w:asciiTheme="minorEastAsia" w:eastAsiaTheme="minorEastAsia" w:hAnsiTheme="minorEastAsia" w:cs="宋体" w:hint="eastAsia"/>
          <w:b/>
          <w:bCs/>
          <w:sz w:val="44"/>
          <w:szCs w:val="44"/>
        </w:rPr>
        <w:t>采购</w:t>
      </w:r>
      <w:r>
        <w:rPr>
          <w:rFonts w:asciiTheme="minorEastAsia" w:eastAsiaTheme="minorEastAsia" w:hAnsiTheme="minorEastAsia" w:cstheme="minorEastAsia" w:hint="eastAsia"/>
          <w:b/>
          <w:bCs/>
          <w:kern w:val="0"/>
          <w:sz w:val="44"/>
          <w:szCs w:val="44"/>
          <w:lang w:bidi="ar"/>
        </w:rPr>
        <w:t>项目</w:t>
      </w:r>
    </w:p>
    <w:p w14:paraId="19C6A1B0" w14:textId="77777777" w:rsidR="00FA5FC9" w:rsidRDefault="00000000">
      <w:pPr>
        <w:jc w:val="center"/>
        <w:rPr>
          <w:rFonts w:cs="宋体"/>
          <w:b/>
          <w:sz w:val="28"/>
          <w:szCs w:val="28"/>
        </w:rPr>
      </w:pPr>
      <w:r>
        <w:rPr>
          <w:rFonts w:cs="宋体" w:hint="eastAsia"/>
          <w:b/>
          <w:sz w:val="28"/>
          <w:szCs w:val="28"/>
        </w:rPr>
        <w:t xml:space="preserve"> </w:t>
      </w:r>
      <w:r>
        <w:rPr>
          <w:rFonts w:cs="宋体" w:hint="eastAsia"/>
          <w:b/>
          <w:sz w:val="28"/>
          <w:szCs w:val="28"/>
        </w:rPr>
        <w:t>技术要求</w:t>
      </w:r>
    </w:p>
    <w:p w14:paraId="7435AB89" w14:textId="77777777" w:rsidR="00FA5FC9" w:rsidRDefault="00000000">
      <w:pPr>
        <w:pStyle w:val="1"/>
        <w:spacing w:beforeLines="50" w:before="156" w:afterLines="50" w:after="156" w:line="360" w:lineRule="auto"/>
        <w:ind w:left="369" w:hanging="369"/>
        <w:rPr>
          <w:rFonts w:ascii="Times New Roman" w:eastAsia="宋体" w:hAnsi="Times New Roman" w:cs="宋体"/>
          <w:b/>
          <w:color w:val="auto"/>
          <w:sz w:val="28"/>
          <w:szCs w:val="28"/>
        </w:rPr>
      </w:pPr>
      <w:bookmarkStart w:id="0" w:name="_Toc4667"/>
      <w:r>
        <w:rPr>
          <w:rFonts w:ascii="Times New Roman" w:eastAsia="宋体" w:hAnsi="Times New Roman" w:cs="宋体" w:hint="eastAsia"/>
          <w:b/>
          <w:color w:val="auto"/>
          <w:sz w:val="28"/>
          <w:szCs w:val="28"/>
        </w:rPr>
        <w:t>1.</w:t>
      </w:r>
      <w:r>
        <w:rPr>
          <w:rFonts w:ascii="Times New Roman" w:eastAsia="宋体" w:hAnsi="Times New Roman" w:cs="宋体" w:hint="eastAsia"/>
          <w:b/>
          <w:color w:val="auto"/>
          <w:sz w:val="28"/>
          <w:szCs w:val="28"/>
        </w:rPr>
        <w:t>基本要求</w:t>
      </w:r>
      <w:bookmarkEnd w:id="0"/>
    </w:p>
    <w:p w14:paraId="4A02955D" w14:textId="77777777" w:rsidR="00FA5FC9" w:rsidRDefault="00000000">
      <w:pPr>
        <w:pStyle w:val="af2"/>
        <w:numPr>
          <w:ilvl w:val="1"/>
          <w:numId w:val="0"/>
        </w:numPr>
        <w:spacing w:line="360" w:lineRule="auto"/>
        <w:rPr>
          <w:rFonts w:ascii="宋体" w:hAnsi="宋体" w:hint="eastAsia"/>
          <w:sz w:val="24"/>
        </w:rPr>
      </w:pPr>
      <w:r>
        <w:rPr>
          <w:rFonts w:ascii="宋体" w:hAnsi="宋体" w:hint="eastAsia"/>
          <w:sz w:val="24"/>
        </w:rPr>
        <w:t>1</w:t>
      </w:r>
      <w:r>
        <w:rPr>
          <w:rFonts w:ascii="宋体" w:hAnsi="宋体"/>
          <w:sz w:val="24"/>
        </w:rPr>
        <w:t>.1</w:t>
      </w:r>
      <w:r>
        <w:rPr>
          <w:rFonts w:ascii="宋体" w:hAnsi="宋体" w:hint="eastAsia"/>
          <w:sz w:val="24"/>
        </w:rPr>
        <w:t>本技术附件提出了标的物的功能设计、结构、性能、资料交付、售后服务等方面的技术要求。</w:t>
      </w:r>
    </w:p>
    <w:p w14:paraId="6028EE85" w14:textId="77777777" w:rsidR="00FA5FC9" w:rsidRDefault="00000000">
      <w:pPr>
        <w:pStyle w:val="af2"/>
        <w:numPr>
          <w:ilvl w:val="1"/>
          <w:numId w:val="0"/>
        </w:numPr>
        <w:spacing w:line="360" w:lineRule="auto"/>
        <w:rPr>
          <w:rFonts w:ascii="宋体" w:hAnsi="宋体" w:hint="eastAsia"/>
          <w:sz w:val="24"/>
        </w:rPr>
      </w:pPr>
      <w:r>
        <w:rPr>
          <w:rFonts w:ascii="宋体" w:hAnsi="宋体" w:hint="eastAsia"/>
          <w:sz w:val="24"/>
        </w:rPr>
        <w:t>1</w:t>
      </w:r>
      <w:r>
        <w:rPr>
          <w:rFonts w:ascii="宋体" w:hAnsi="宋体"/>
          <w:sz w:val="24"/>
        </w:rPr>
        <w:t>.2</w:t>
      </w:r>
      <w:r>
        <w:rPr>
          <w:rFonts w:ascii="宋体" w:hAnsi="宋体" w:hint="eastAsia"/>
          <w:sz w:val="24"/>
        </w:rPr>
        <w:t>投标方提供的设备应保证功能完整、技术满足要求，并能满足人身安全、劳动保护、环保和节能要求。</w:t>
      </w:r>
    </w:p>
    <w:p w14:paraId="1D534713" w14:textId="77777777" w:rsidR="00FA5FC9" w:rsidRDefault="00000000">
      <w:pPr>
        <w:pStyle w:val="af2"/>
        <w:numPr>
          <w:ilvl w:val="1"/>
          <w:numId w:val="0"/>
        </w:numPr>
        <w:spacing w:line="360" w:lineRule="auto"/>
        <w:rPr>
          <w:rFonts w:ascii="宋体" w:hAnsi="宋体" w:hint="eastAsia"/>
          <w:sz w:val="24"/>
        </w:rPr>
      </w:pPr>
      <w:r>
        <w:rPr>
          <w:rFonts w:ascii="宋体" w:hAnsi="宋体" w:hint="eastAsia"/>
          <w:sz w:val="24"/>
        </w:rPr>
        <w:t>1</w:t>
      </w:r>
      <w:r>
        <w:rPr>
          <w:rFonts w:ascii="宋体" w:hAnsi="宋体"/>
          <w:sz w:val="24"/>
        </w:rPr>
        <w:t>.3</w:t>
      </w:r>
      <w:r>
        <w:rPr>
          <w:rFonts w:ascii="宋体" w:hAnsi="宋体" w:hint="eastAsia"/>
          <w:sz w:val="24"/>
        </w:rPr>
        <w:t>所有零部件均须正确设计和制造，在正常工况下均能安全、持续运行。没有过度的应力、振动、温升、磨损、腐蚀、老化等问题。</w:t>
      </w:r>
    </w:p>
    <w:p w14:paraId="1EDA66D1" w14:textId="77777777" w:rsidR="00FA5FC9" w:rsidRDefault="00000000">
      <w:pPr>
        <w:pStyle w:val="af2"/>
        <w:numPr>
          <w:ilvl w:val="1"/>
          <w:numId w:val="0"/>
        </w:numPr>
        <w:spacing w:line="360" w:lineRule="auto"/>
        <w:rPr>
          <w:rFonts w:ascii="宋体" w:hAnsi="宋体" w:hint="eastAsia"/>
          <w:sz w:val="24"/>
        </w:rPr>
      </w:pPr>
      <w:r>
        <w:rPr>
          <w:rFonts w:ascii="宋体" w:hAnsi="宋体" w:hint="eastAsia"/>
          <w:sz w:val="24"/>
        </w:rPr>
        <w:t>1</w:t>
      </w:r>
      <w:r>
        <w:rPr>
          <w:rFonts w:ascii="宋体" w:hAnsi="宋体"/>
          <w:sz w:val="24"/>
        </w:rPr>
        <w:t>.4</w:t>
      </w:r>
      <w:r>
        <w:rPr>
          <w:rFonts w:ascii="宋体" w:hAnsi="宋体" w:hint="eastAsia"/>
          <w:sz w:val="24"/>
        </w:rPr>
        <w:t>投标方提供的所有技术文件内容和产品图样，除非在签订的技术协议中另作规定外，均应使用中国的相应国家标准、各行业标准、国际标准化组织标准和/或其它先进国际标准。计量单位采用中国法定计量单位。</w:t>
      </w:r>
    </w:p>
    <w:p w14:paraId="3BA71B45" w14:textId="77777777" w:rsidR="00FA5FC9" w:rsidRDefault="00000000">
      <w:pPr>
        <w:pStyle w:val="af2"/>
        <w:numPr>
          <w:ilvl w:val="1"/>
          <w:numId w:val="0"/>
        </w:numPr>
        <w:spacing w:line="360" w:lineRule="auto"/>
        <w:rPr>
          <w:rFonts w:ascii="宋体" w:hAnsi="宋体" w:hint="eastAsia"/>
          <w:sz w:val="24"/>
        </w:rPr>
      </w:pPr>
      <w:r>
        <w:rPr>
          <w:rFonts w:ascii="宋体" w:hAnsi="宋体" w:hint="eastAsia"/>
          <w:sz w:val="24"/>
        </w:rPr>
        <w:t>1</w:t>
      </w:r>
      <w:r>
        <w:rPr>
          <w:rFonts w:ascii="宋体" w:hAnsi="宋体"/>
          <w:sz w:val="24"/>
        </w:rPr>
        <w:t>.5</w:t>
      </w:r>
      <w:r>
        <w:rPr>
          <w:rFonts w:ascii="宋体" w:hAnsi="宋体" w:hint="eastAsia"/>
          <w:sz w:val="24"/>
        </w:rPr>
        <w:t>投标方所有的材料及零部件(或元器件)均符合有关规范的要求，且是新的和优质的，并能满足当地环境条件的要求。标的设备交付时应提供生产许可证、产品检验合格证及使用维护说明书等相关资料，不得采用国家公布的淘汰产品。</w:t>
      </w:r>
    </w:p>
    <w:p w14:paraId="14CDFA83" w14:textId="77777777" w:rsidR="00FA5FC9" w:rsidRDefault="00000000">
      <w:pPr>
        <w:pStyle w:val="af2"/>
        <w:numPr>
          <w:ilvl w:val="1"/>
          <w:numId w:val="0"/>
        </w:numPr>
        <w:spacing w:line="360" w:lineRule="auto"/>
        <w:rPr>
          <w:rFonts w:ascii="宋体" w:hAnsi="宋体" w:hint="eastAsia"/>
          <w:sz w:val="24"/>
        </w:rPr>
      </w:pPr>
      <w:r>
        <w:rPr>
          <w:rFonts w:ascii="宋体" w:hAnsi="宋体" w:hint="eastAsia"/>
          <w:sz w:val="24"/>
        </w:rPr>
        <w:t>1</w:t>
      </w:r>
      <w:r>
        <w:rPr>
          <w:rFonts w:ascii="宋体" w:hAnsi="宋体"/>
          <w:sz w:val="24"/>
        </w:rPr>
        <w:t>.6</w:t>
      </w:r>
      <w:r>
        <w:rPr>
          <w:rFonts w:ascii="宋体" w:hAnsi="宋体" w:hint="eastAsia"/>
          <w:sz w:val="24"/>
        </w:rPr>
        <w:t>所使用的零件或组件，特别是易损件应具备可维护、更换性，优先采用国标标准。</w:t>
      </w:r>
    </w:p>
    <w:p w14:paraId="3D104244" w14:textId="77777777" w:rsidR="00FA5FC9" w:rsidRDefault="00000000">
      <w:pPr>
        <w:pStyle w:val="af2"/>
        <w:numPr>
          <w:ilvl w:val="1"/>
          <w:numId w:val="0"/>
        </w:numPr>
        <w:spacing w:line="360" w:lineRule="auto"/>
        <w:rPr>
          <w:rFonts w:ascii="宋体" w:hAnsi="宋体" w:hint="eastAsia"/>
          <w:sz w:val="24"/>
        </w:rPr>
      </w:pPr>
      <w:r>
        <w:rPr>
          <w:rFonts w:ascii="宋体" w:hAnsi="宋体" w:hint="eastAsia"/>
          <w:sz w:val="24"/>
        </w:rPr>
        <w:t>1</w:t>
      </w:r>
      <w:r>
        <w:rPr>
          <w:rFonts w:ascii="宋体" w:hAnsi="宋体"/>
          <w:sz w:val="24"/>
        </w:rPr>
        <w:t>.7</w:t>
      </w:r>
      <w:r>
        <w:rPr>
          <w:rFonts w:ascii="宋体" w:hAnsi="宋体" w:hint="eastAsia"/>
          <w:sz w:val="24"/>
        </w:rPr>
        <w:t>易于磨损、腐蚀、老化或需要调整、检查和更换的部件提供备用品清单，并能比较方便地拆卸、更换和修理。</w:t>
      </w:r>
    </w:p>
    <w:p w14:paraId="33CAF9E7" w14:textId="77777777" w:rsidR="00FA5FC9" w:rsidRDefault="00000000">
      <w:pPr>
        <w:pStyle w:val="af2"/>
        <w:numPr>
          <w:ilvl w:val="1"/>
          <w:numId w:val="0"/>
        </w:numPr>
        <w:spacing w:line="360" w:lineRule="auto"/>
        <w:rPr>
          <w:rFonts w:ascii="宋体" w:hAnsi="宋体" w:hint="eastAsia"/>
          <w:sz w:val="24"/>
        </w:rPr>
      </w:pPr>
      <w:r>
        <w:rPr>
          <w:rFonts w:ascii="宋体" w:hAnsi="宋体" w:hint="eastAsia"/>
          <w:sz w:val="24"/>
        </w:rPr>
        <w:t>1</w:t>
      </w:r>
      <w:r>
        <w:rPr>
          <w:rFonts w:ascii="宋体" w:hAnsi="宋体"/>
          <w:sz w:val="24"/>
        </w:rPr>
        <w:t>.8</w:t>
      </w:r>
      <w:r>
        <w:rPr>
          <w:rFonts w:ascii="宋体" w:hAnsi="宋体" w:hint="eastAsia"/>
          <w:sz w:val="24"/>
        </w:rPr>
        <w:t>外露的转动部件均设置防护罩，且便于拆卸。各转动零、部件须转动灵活，无卡阻现象。</w:t>
      </w:r>
    </w:p>
    <w:p w14:paraId="0CE1EC89" w14:textId="77777777" w:rsidR="00FA5FC9" w:rsidRDefault="00000000">
      <w:pPr>
        <w:pStyle w:val="af2"/>
        <w:numPr>
          <w:ilvl w:val="1"/>
          <w:numId w:val="0"/>
        </w:numPr>
        <w:spacing w:line="360" w:lineRule="auto"/>
        <w:rPr>
          <w:rFonts w:ascii="宋体" w:hAnsi="宋体" w:hint="eastAsia"/>
          <w:sz w:val="24"/>
        </w:rPr>
      </w:pPr>
      <w:r>
        <w:rPr>
          <w:rFonts w:ascii="宋体" w:hAnsi="宋体" w:hint="eastAsia"/>
          <w:sz w:val="24"/>
        </w:rPr>
        <w:t>1</w:t>
      </w:r>
      <w:r>
        <w:rPr>
          <w:rFonts w:ascii="宋体" w:hAnsi="宋体"/>
          <w:sz w:val="24"/>
        </w:rPr>
        <w:t>.9</w:t>
      </w:r>
      <w:r>
        <w:rPr>
          <w:rFonts w:ascii="宋体" w:hAnsi="宋体" w:hint="eastAsia"/>
          <w:sz w:val="24"/>
        </w:rPr>
        <w:t>本技术附件仅提供有限的、最低限度的技术要求，并未对所有技术细节做出规定，也未完全陈述与之有关规范和标准的详细条文，投标方应根据自己的经验和有关国家、行业最新技术规范和标准以及招标方提供的技术资料要求提供本技术附件中所列的、满足有关工业化标准要求的优良设备。并且投标方的产品应保证符合国家、行业最新技术规范和标准以及招标方提供的技术资料的要求；如果</w:t>
      </w:r>
      <w:r>
        <w:rPr>
          <w:rFonts w:ascii="宋体" w:hAnsi="宋体" w:hint="eastAsia"/>
          <w:sz w:val="24"/>
        </w:rPr>
        <w:lastRenderedPageBreak/>
        <w:t>提供的技术资料、制造标准低于国家、行业最新技术规范和标准时，按照较高标准执行，必须满足招标方实际使用需求。</w:t>
      </w:r>
    </w:p>
    <w:p w14:paraId="523C0089" w14:textId="77777777" w:rsidR="00FA5FC9" w:rsidRDefault="00000000">
      <w:pPr>
        <w:pStyle w:val="af2"/>
        <w:numPr>
          <w:ilvl w:val="1"/>
          <w:numId w:val="0"/>
        </w:numPr>
        <w:spacing w:line="360" w:lineRule="auto"/>
        <w:rPr>
          <w:rFonts w:ascii="宋体" w:hAnsi="宋体" w:hint="eastAsia"/>
          <w:sz w:val="24"/>
        </w:rPr>
      </w:pPr>
      <w:r>
        <w:rPr>
          <w:rFonts w:ascii="宋体" w:hAnsi="宋体" w:hint="eastAsia"/>
          <w:sz w:val="24"/>
        </w:rPr>
        <w:t>1</w:t>
      </w:r>
      <w:r>
        <w:rPr>
          <w:rFonts w:ascii="宋体" w:hAnsi="宋体"/>
          <w:sz w:val="24"/>
        </w:rPr>
        <w:t>.10</w:t>
      </w:r>
      <w:r>
        <w:rPr>
          <w:rFonts w:ascii="宋体" w:hAnsi="宋体" w:hint="eastAsia"/>
          <w:sz w:val="24"/>
        </w:rPr>
        <w:t>如果投标方没有以书面形式对本技术附件的条款提出异议，那么默认为完全认同本技术附件的要求；在签订合同后，招标方有权提出因规范标准和规程发生变化而产生的一些补充要求，具体由双方共同商定。</w:t>
      </w:r>
    </w:p>
    <w:p w14:paraId="62ED6D85" w14:textId="77777777" w:rsidR="00FA5FC9" w:rsidRDefault="00000000">
      <w:pPr>
        <w:pStyle w:val="af2"/>
        <w:numPr>
          <w:ilvl w:val="1"/>
          <w:numId w:val="0"/>
        </w:numPr>
        <w:spacing w:line="360" w:lineRule="auto"/>
        <w:rPr>
          <w:rFonts w:ascii="宋体" w:hAnsi="宋体" w:hint="eastAsia"/>
          <w:sz w:val="24"/>
        </w:rPr>
      </w:pPr>
      <w:r>
        <w:rPr>
          <w:rFonts w:ascii="宋体" w:hAnsi="宋体" w:hint="eastAsia"/>
          <w:sz w:val="24"/>
        </w:rPr>
        <w:t>1</w:t>
      </w:r>
      <w:r>
        <w:rPr>
          <w:rFonts w:ascii="宋体" w:hAnsi="宋体"/>
          <w:sz w:val="24"/>
        </w:rPr>
        <w:t>.11</w:t>
      </w:r>
      <w:r>
        <w:rPr>
          <w:rFonts w:ascii="宋体" w:hAnsi="宋体" w:hint="eastAsia"/>
          <w:sz w:val="24"/>
        </w:rPr>
        <w:t>投标方对设备的完整性、安全性、可靠性负责，严格按照双方确认的技术资料进行制造；制造过程中如有变更或修改，必须经双方共同签字确认后方可变更。</w:t>
      </w:r>
    </w:p>
    <w:p w14:paraId="498F7AC8" w14:textId="77777777" w:rsidR="00FA5FC9" w:rsidRDefault="00000000">
      <w:pPr>
        <w:pStyle w:val="af2"/>
        <w:numPr>
          <w:ilvl w:val="1"/>
          <w:numId w:val="0"/>
        </w:numPr>
        <w:spacing w:line="360" w:lineRule="auto"/>
        <w:rPr>
          <w:rFonts w:ascii="宋体" w:hAnsi="宋体" w:hint="eastAsia"/>
          <w:sz w:val="24"/>
        </w:rPr>
      </w:pPr>
      <w:r>
        <w:rPr>
          <w:rFonts w:ascii="宋体" w:hAnsi="宋体" w:hint="eastAsia"/>
          <w:sz w:val="24"/>
        </w:rPr>
        <w:t>1</w:t>
      </w:r>
      <w:r>
        <w:rPr>
          <w:rFonts w:ascii="宋体" w:hAnsi="宋体"/>
          <w:sz w:val="24"/>
        </w:rPr>
        <w:t>.12</w:t>
      </w:r>
      <w:r>
        <w:rPr>
          <w:rFonts w:ascii="宋体" w:hAnsi="宋体" w:hint="eastAsia"/>
          <w:sz w:val="24"/>
        </w:rPr>
        <w:t>招标方保留对投标方生产进度、产品质量进行检查、监制的权力，有权进入投标方货物制造场所确认检查及试验的有效性。因生产工艺及其它不符合有关协议、技术文件、合同要求的情况，招标方有保留中止其生产或拒收货物的权力。</w:t>
      </w:r>
    </w:p>
    <w:p w14:paraId="206620FA" w14:textId="77777777" w:rsidR="00FA5FC9" w:rsidRDefault="00000000">
      <w:pPr>
        <w:pStyle w:val="af2"/>
        <w:numPr>
          <w:ilvl w:val="1"/>
          <w:numId w:val="0"/>
        </w:numPr>
        <w:spacing w:line="360" w:lineRule="auto"/>
        <w:rPr>
          <w:rFonts w:ascii="宋体" w:hAnsi="宋体" w:hint="eastAsia"/>
          <w:sz w:val="24"/>
        </w:rPr>
      </w:pPr>
      <w:r>
        <w:rPr>
          <w:rFonts w:ascii="宋体" w:hAnsi="宋体" w:hint="eastAsia"/>
          <w:sz w:val="24"/>
        </w:rPr>
        <w:t>1</w:t>
      </w:r>
      <w:r>
        <w:rPr>
          <w:rFonts w:ascii="宋体" w:hAnsi="宋体"/>
          <w:sz w:val="24"/>
        </w:rPr>
        <w:t>.13</w:t>
      </w:r>
      <w:r>
        <w:rPr>
          <w:rFonts w:ascii="宋体" w:hAnsi="宋体" w:hint="eastAsia"/>
          <w:sz w:val="24"/>
        </w:rPr>
        <w:t>投标方应保证所供设备的合法性，如因此产生了侵权行为，由投标方承担，并不得影响招标方权益。</w:t>
      </w:r>
    </w:p>
    <w:p w14:paraId="090BD3E4" w14:textId="77777777" w:rsidR="00FA5FC9" w:rsidRDefault="00000000">
      <w:pPr>
        <w:pStyle w:val="af2"/>
        <w:numPr>
          <w:ilvl w:val="1"/>
          <w:numId w:val="0"/>
        </w:numPr>
        <w:spacing w:line="360" w:lineRule="auto"/>
        <w:rPr>
          <w:rFonts w:ascii="宋体" w:hAnsi="宋体" w:hint="eastAsia"/>
          <w:sz w:val="24"/>
        </w:rPr>
      </w:pPr>
      <w:r>
        <w:rPr>
          <w:rFonts w:ascii="宋体" w:hAnsi="宋体" w:hint="eastAsia"/>
          <w:sz w:val="24"/>
        </w:rPr>
        <w:t>1</w:t>
      </w:r>
      <w:r>
        <w:rPr>
          <w:rFonts w:ascii="宋体" w:hAnsi="宋体"/>
          <w:sz w:val="24"/>
        </w:rPr>
        <w:t>.14</w:t>
      </w:r>
      <w:r>
        <w:rPr>
          <w:rFonts w:ascii="宋体" w:hAnsi="宋体" w:hint="eastAsia"/>
          <w:sz w:val="24"/>
        </w:rPr>
        <w:t>投标方应保证所承制的设备部件不得分割外包，配套件、标准件除外。</w:t>
      </w:r>
    </w:p>
    <w:p w14:paraId="25CC86BB" w14:textId="77777777" w:rsidR="00FA5FC9" w:rsidRDefault="00000000">
      <w:pPr>
        <w:pStyle w:val="af2"/>
        <w:numPr>
          <w:ilvl w:val="1"/>
          <w:numId w:val="0"/>
        </w:numPr>
        <w:spacing w:line="360" w:lineRule="auto"/>
        <w:rPr>
          <w:rFonts w:ascii="宋体" w:hAnsi="宋体" w:hint="eastAsia"/>
          <w:sz w:val="24"/>
        </w:rPr>
      </w:pPr>
      <w:r>
        <w:rPr>
          <w:rFonts w:ascii="宋体" w:hAnsi="宋体" w:hint="eastAsia"/>
          <w:sz w:val="24"/>
        </w:rPr>
        <w:t>1</w:t>
      </w:r>
      <w:r>
        <w:rPr>
          <w:rFonts w:ascii="宋体" w:hAnsi="宋体"/>
          <w:sz w:val="24"/>
        </w:rPr>
        <w:t>.15</w:t>
      </w:r>
      <w:r>
        <w:rPr>
          <w:rFonts w:ascii="宋体" w:hAnsi="宋体" w:hint="eastAsia"/>
          <w:sz w:val="24"/>
        </w:rPr>
        <w:t>设备供货（包括设计、制造、检验、试验等）应严格遵循适用的国际、国家、行业以及相关的工程技术文件中相应条款的要求。</w:t>
      </w:r>
    </w:p>
    <w:p w14:paraId="3259708D" w14:textId="77777777" w:rsidR="00FA5FC9" w:rsidRDefault="00000000">
      <w:pPr>
        <w:pStyle w:val="1"/>
        <w:spacing w:beforeLines="50" w:before="156" w:afterLines="50" w:after="156" w:line="360" w:lineRule="auto"/>
        <w:ind w:left="369" w:hanging="369"/>
        <w:rPr>
          <w:rFonts w:ascii="Times New Roman" w:eastAsia="宋体" w:hAnsi="Times New Roman" w:cs="宋体"/>
          <w:b/>
          <w:color w:val="auto"/>
          <w:sz w:val="28"/>
          <w:szCs w:val="28"/>
        </w:rPr>
      </w:pPr>
      <w:bookmarkStart w:id="1" w:name="_Toc24956"/>
      <w:r>
        <w:rPr>
          <w:rFonts w:ascii="Times New Roman" w:eastAsia="宋体" w:hAnsi="Times New Roman" w:cs="宋体" w:hint="eastAsia"/>
          <w:b/>
          <w:color w:val="auto"/>
          <w:sz w:val="28"/>
          <w:szCs w:val="28"/>
        </w:rPr>
        <w:t>2.</w:t>
      </w:r>
      <w:bookmarkEnd w:id="1"/>
      <w:r>
        <w:rPr>
          <w:rFonts w:ascii="Times New Roman" w:eastAsia="宋体" w:hAnsi="Times New Roman" w:cs="宋体" w:hint="eastAsia"/>
          <w:b/>
          <w:color w:val="auto"/>
          <w:sz w:val="28"/>
          <w:szCs w:val="28"/>
        </w:rPr>
        <w:t>技术参数</w:t>
      </w:r>
    </w:p>
    <w:tbl>
      <w:tblPr>
        <w:tblW w:w="8586" w:type="dxa"/>
        <w:jc w:val="center"/>
        <w:tblLook w:val="04A0" w:firstRow="1" w:lastRow="0" w:firstColumn="1" w:lastColumn="0" w:noHBand="0" w:noVBand="1"/>
      </w:tblPr>
      <w:tblGrid>
        <w:gridCol w:w="523"/>
        <w:gridCol w:w="856"/>
        <w:gridCol w:w="1256"/>
        <w:gridCol w:w="3216"/>
        <w:gridCol w:w="838"/>
        <w:gridCol w:w="739"/>
        <w:gridCol w:w="1158"/>
      </w:tblGrid>
      <w:tr w:rsidR="00FA5FC9" w14:paraId="4E4BE8CB" w14:textId="77777777">
        <w:trPr>
          <w:tblHeader/>
          <w:jc w:val="center"/>
        </w:trPr>
        <w:tc>
          <w:tcPr>
            <w:tcW w:w="0" w:type="auto"/>
            <w:vMerge w:val="restart"/>
            <w:tcBorders>
              <w:top w:val="single" w:sz="4" w:space="0" w:color="auto"/>
              <w:left w:val="single" w:sz="4" w:space="0" w:color="auto"/>
              <w:bottom w:val="single" w:sz="4" w:space="0" w:color="auto"/>
              <w:right w:val="single" w:sz="4" w:space="0" w:color="auto"/>
            </w:tcBorders>
            <w:vAlign w:val="center"/>
          </w:tcPr>
          <w:p w14:paraId="2C3FA90A" w14:textId="77777777" w:rsidR="00FA5FC9" w:rsidRDefault="00000000">
            <w:pPr>
              <w:widowControl/>
              <w:snapToGrid w:val="0"/>
              <w:jc w:val="center"/>
              <w:rPr>
                <w:rFonts w:ascii="黑体" w:eastAsia="黑体" w:hAnsi="黑体" w:cs="宋体" w:hint="eastAsia"/>
                <w:b/>
                <w:kern w:val="0"/>
                <w:sz w:val="20"/>
                <w:szCs w:val="20"/>
              </w:rPr>
            </w:pPr>
            <w:r>
              <w:rPr>
                <w:rFonts w:ascii="黑体" w:eastAsia="黑体" w:hAnsi="黑体" w:cs="宋体" w:hint="eastAsia"/>
                <w:b/>
                <w:kern w:val="0"/>
                <w:sz w:val="20"/>
                <w:szCs w:val="20"/>
              </w:rPr>
              <w:t>序号</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2144B9FA" w14:textId="77777777" w:rsidR="00FA5FC9" w:rsidRDefault="00000000">
            <w:pPr>
              <w:widowControl/>
              <w:snapToGrid w:val="0"/>
              <w:jc w:val="center"/>
              <w:rPr>
                <w:rFonts w:ascii="黑体" w:eastAsia="黑体" w:hAnsi="黑体" w:cs="宋体" w:hint="eastAsia"/>
                <w:b/>
                <w:kern w:val="0"/>
                <w:sz w:val="20"/>
                <w:szCs w:val="20"/>
              </w:rPr>
            </w:pPr>
            <w:r>
              <w:rPr>
                <w:rFonts w:ascii="黑体" w:eastAsia="黑体" w:hAnsi="黑体" w:cs="宋体" w:hint="eastAsia"/>
                <w:b/>
                <w:kern w:val="0"/>
                <w:sz w:val="20"/>
                <w:szCs w:val="20"/>
              </w:rPr>
              <w:t>设备编号</w:t>
            </w:r>
          </w:p>
        </w:tc>
        <w:tc>
          <w:tcPr>
            <w:tcW w:w="1256" w:type="dxa"/>
            <w:vMerge w:val="restart"/>
            <w:tcBorders>
              <w:top w:val="single" w:sz="4" w:space="0" w:color="auto"/>
              <w:left w:val="single" w:sz="4" w:space="0" w:color="auto"/>
              <w:bottom w:val="single" w:sz="4" w:space="0" w:color="auto"/>
              <w:right w:val="single" w:sz="4" w:space="0" w:color="auto"/>
            </w:tcBorders>
            <w:noWrap/>
            <w:vAlign w:val="center"/>
          </w:tcPr>
          <w:p w14:paraId="649F8163" w14:textId="77777777" w:rsidR="00FA5FC9" w:rsidRDefault="00000000">
            <w:pPr>
              <w:widowControl/>
              <w:snapToGrid w:val="0"/>
              <w:jc w:val="center"/>
              <w:rPr>
                <w:rFonts w:ascii="黑体" w:eastAsia="黑体" w:hAnsi="黑体" w:cs="宋体" w:hint="eastAsia"/>
                <w:b/>
                <w:kern w:val="0"/>
                <w:sz w:val="20"/>
                <w:szCs w:val="20"/>
              </w:rPr>
            </w:pPr>
            <w:r>
              <w:rPr>
                <w:rFonts w:ascii="黑体" w:eastAsia="黑体" w:hAnsi="黑体" w:cs="宋体" w:hint="eastAsia"/>
                <w:b/>
                <w:kern w:val="0"/>
                <w:sz w:val="20"/>
                <w:szCs w:val="20"/>
              </w:rPr>
              <w:t>设备名称</w:t>
            </w:r>
          </w:p>
        </w:tc>
        <w:tc>
          <w:tcPr>
            <w:tcW w:w="3216" w:type="dxa"/>
            <w:vMerge w:val="restart"/>
            <w:tcBorders>
              <w:top w:val="single" w:sz="4" w:space="0" w:color="auto"/>
              <w:left w:val="single" w:sz="4" w:space="0" w:color="auto"/>
              <w:bottom w:val="single" w:sz="4" w:space="0" w:color="auto"/>
              <w:right w:val="single" w:sz="4" w:space="0" w:color="auto"/>
            </w:tcBorders>
            <w:vAlign w:val="center"/>
          </w:tcPr>
          <w:p w14:paraId="56339D70" w14:textId="77777777" w:rsidR="00FA5FC9" w:rsidRDefault="00000000">
            <w:pPr>
              <w:widowControl/>
              <w:snapToGrid w:val="0"/>
              <w:jc w:val="center"/>
              <w:rPr>
                <w:rFonts w:ascii="黑体" w:eastAsia="黑体" w:hAnsi="黑体" w:cs="宋体" w:hint="eastAsia"/>
                <w:b/>
                <w:kern w:val="0"/>
                <w:sz w:val="20"/>
                <w:szCs w:val="20"/>
              </w:rPr>
            </w:pPr>
            <w:r>
              <w:rPr>
                <w:rFonts w:ascii="黑体" w:eastAsia="黑体" w:hAnsi="黑体" w:cs="宋体" w:hint="eastAsia"/>
                <w:b/>
                <w:kern w:val="0"/>
                <w:sz w:val="20"/>
                <w:szCs w:val="20"/>
              </w:rPr>
              <w:t>规格型号/技术参数</w:t>
            </w:r>
          </w:p>
        </w:tc>
        <w:tc>
          <w:tcPr>
            <w:tcW w:w="838" w:type="dxa"/>
            <w:tcBorders>
              <w:top w:val="single" w:sz="4" w:space="0" w:color="auto"/>
              <w:left w:val="single" w:sz="4" w:space="0" w:color="auto"/>
              <w:bottom w:val="single" w:sz="4" w:space="0" w:color="auto"/>
              <w:right w:val="single" w:sz="4" w:space="0" w:color="auto"/>
            </w:tcBorders>
            <w:vAlign w:val="center"/>
          </w:tcPr>
          <w:p w14:paraId="152BAFCD" w14:textId="77777777" w:rsidR="00FA5FC9" w:rsidRDefault="00000000">
            <w:pPr>
              <w:widowControl/>
              <w:snapToGrid w:val="0"/>
              <w:jc w:val="center"/>
              <w:rPr>
                <w:rFonts w:ascii="黑体" w:eastAsia="黑体" w:hAnsi="黑体" w:cs="宋体" w:hint="eastAsia"/>
                <w:b/>
                <w:kern w:val="0"/>
                <w:sz w:val="20"/>
                <w:szCs w:val="20"/>
              </w:rPr>
            </w:pPr>
            <w:r>
              <w:rPr>
                <w:rFonts w:ascii="黑体" w:eastAsia="黑体" w:hAnsi="黑体" w:cs="宋体" w:hint="eastAsia"/>
                <w:b/>
                <w:kern w:val="0"/>
                <w:sz w:val="20"/>
                <w:szCs w:val="20"/>
              </w:rPr>
              <w:t>数量</w:t>
            </w:r>
          </w:p>
        </w:tc>
        <w:tc>
          <w:tcPr>
            <w:tcW w:w="739" w:type="dxa"/>
            <w:tcBorders>
              <w:top w:val="single" w:sz="4" w:space="0" w:color="auto"/>
              <w:left w:val="single" w:sz="4" w:space="0" w:color="auto"/>
              <w:bottom w:val="single" w:sz="4" w:space="0" w:color="auto"/>
              <w:right w:val="single" w:sz="4" w:space="0" w:color="auto"/>
            </w:tcBorders>
            <w:vAlign w:val="center"/>
          </w:tcPr>
          <w:p w14:paraId="48040458" w14:textId="77777777" w:rsidR="00FA5FC9" w:rsidRDefault="00000000">
            <w:pPr>
              <w:widowControl/>
              <w:snapToGrid w:val="0"/>
              <w:jc w:val="center"/>
              <w:rPr>
                <w:rFonts w:ascii="黑体" w:eastAsia="黑体" w:hAnsi="黑体" w:cs="宋体" w:hint="eastAsia"/>
                <w:b/>
                <w:kern w:val="0"/>
                <w:sz w:val="20"/>
                <w:szCs w:val="20"/>
              </w:rPr>
            </w:pPr>
            <w:r>
              <w:rPr>
                <w:rFonts w:ascii="黑体" w:eastAsia="黑体" w:hAnsi="黑体" w:cs="宋体" w:hint="eastAsia"/>
                <w:b/>
                <w:kern w:val="0"/>
                <w:sz w:val="20"/>
                <w:szCs w:val="20"/>
              </w:rPr>
              <w:t>重量</w:t>
            </w:r>
          </w:p>
        </w:tc>
        <w:tc>
          <w:tcPr>
            <w:tcW w:w="1158" w:type="dxa"/>
            <w:vMerge w:val="restart"/>
            <w:tcBorders>
              <w:top w:val="single" w:sz="4" w:space="0" w:color="auto"/>
              <w:left w:val="single" w:sz="4" w:space="0" w:color="auto"/>
              <w:bottom w:val="single" w:sz="4" w:space="0" w:color="auto"/>
              <w:right w:val="single" w:sz="4" w:space="0" w:color="auto"/>
            </w:tcBorders>
            <w:vAlign w:val="center"/>
          </w:tcPr>
          <w:p w14:paraId="5D2778A3" w14:textId="77777777" w:rsidR="00FA5FC9" w:rsidRDefault="00000000">
            <w:pPr>
              <w:widowControl/>
              <w:snapToGrid w:val="0"/>
              <w:jc w:val="center"/>
              <w:rPr>
                <w:rFonts w:ascii="黑体" w:eastAsia="黑体" w:hAnsi="黑体" w:cs="宋体" w:hint="eastAsia"/>
                <w:b/>
                <w:kern w:val="0"/>
                <w:sz w:val="20"/>
                <w:szCs w:val="20"/>
              </w:rPr>
            </w:pPr>
            <w:r>
              <w:rPr>
                <w:rFonts w:ascii="黑体" w:eastAsia="黑体" w:hAnsi="黑体" w:cs="宋体" w:hint="eastAsia"/>
                <w:b/>
                <w:kern w:val="0"/>
                <w:sz w:val="20"/>
                <w:szCs w:val="20"/>
              </w:rPr>
              <w:t>备注</w:t>
            </w:r>
          </w:p>
        </w:tc>
      </w:tr>
      <w:tr w:rsidR="00FA5FC9" w14:paraId="4D036DD1" w14:textId="77777777">
        <w:trPr>
          <w:tblHeader/>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12E9CF2" w14:textId="77777777" w:rsidR="00FA5FC9" w:rsidRDefault="00FA5FC9">
            <w:pPr>
              <w:widowControl/>
              <w:snapToGrid w:val="0"/>
              <w:jc w:val="center"/>
              <w:rPr>
                <w:rFonts w:ascii="黑体" w:eastAsia="黑体" w:hAnsi="黑体" w:cs="宋体" w:hint="eastAsia"/>
                <w:b/>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447CAA8" w14:textId="77777777" w:rsidR="00FA5FC9" w:rsidRDefault="00FA5FC9">
            <w:pPr>
              <w:widowControl/>
              <w:snapToGrid w:val="0"/>
              <w:jc w:val="center"/>
              <w:rPr>
                <w:rFonts w:ascii="黑体" w:eastAsia="黑体" w:hAnsi="黑体" w:cs="宋体" w:hint="eastAsia"/>
                <w:b/>
                <w:kern w:val="0"/>
                <w:sz w:val="20"/>
                <w:szCs w:val="20"/>
              </w:rPr>
            </w:pPr>
          </w:p>
        </w:tc>
        <w:tc>
          <w:tcPr>
            <w:tcW w:w="1256" w:type="dxa"/>
            <w:vMerge/>
            <w:tcBorders>
              <w:top w:val="single" w:sz="4" w:space="0" w:color="auto"/>
              <w:left w:val="single" w:sz="4" w:space="0" w:color="auto"/>
              <w:bottom w:val="single" w:sz="4" w:space="0" w:color="auto"/>
              <w:right w:val="single" w:sz="4" w:space="0" w:color="auto"/>
            </w:tcBorders>
            <w:vAlign w:val="center"/>
          </w:tcPr>
          <w:p w14:paraId="5136413C" w14:textId="77777777" w:rsidR="00FA5FC9" w:rsidRDefault="00FA5FC9">
            <w:pPr>
              <w:widowControl/>
              <w:snapToGrid w:val="0"/>
              <w:jc w:val="center"/>
              <w:rPr>
                <w:rFonts w:ascii="黑体" w:eastAsia="黑体" w:hAnsi="黑体" w:cs="宋体" w:hint="eastAsia"/>
                <w:b/>
                <w:kern w:val="0"/>
                <w:sz w:val="20"/>
                <w:szCs w:val="20"/>
              </w:rPr>
            </w:pPr>
          </w:p>
        </w:tc>
        <w:tc>
          <w:tcPr>
            <w:tcW w:w="3216" w:type="dxa"/>
            <w:vMerge/>
            <w:tcBorders>
              <w:top w:val="single" w:sz="4" w:space="0" w:color="auto"/>
              <w:left w:val="single" w:sz="4" w:space="0" w:color="auto"/>
              <w:bottom w:val="single" w:sz="4" w:space="0" w:color="auto"/>
              <w:right w:val="single" w:sz="4" w:space="0" w:color="auto"/>
            </w:tcBorders>
            <w:vAlign w:val="center"/>
          </w:tcPr>
          <w:p w14:paraId="29716919" w14:textId="77777777" w:rsidR="00FA5FC9" w:rsidRDefault="00FA5FC9">
            <w:pPr>
              <w:widowControl/>
              <w:snapToGrid w:val="0"/>
              <w:jc w:val="center"/>
              <w:rPr>
                <w:rFonts w:ascii="黑体" w:eastAsia="黑体" w:hAnsi="黑体" w:cs="宋体" w:hint="eastAsia"/>
                <w:b/>
                <w:kern w:val="0"/>
                <w:sz w:val="20"/>
                <w:szCs w:val="20"/>
              </w:rPr>
            </w:pPr>
          </w:p>
        </w:tc>
        <w:tc>
          <w:tcPr>
            <w:tcW w:w="838" w:type="dxa"/>
            <w:tcBorders>
              <w:top w:val="single" w:sz="4" w:space="0" w:color="auto"/>
              <w:left w:val="single" w:sz="4" w:space="0" w:color="auto"/>
              <w:bottom w:val="single" w:sz="4" w:space="0" w:color="auto"/>
              <w:right w:val="single" w:sz="4" w:space="0" w:color="auto"/>
            </w:tcBorders>
            <w:vAlign w:val="center"/>
          </w:tcPr>
          <w:p w14:paraId="7ED9B6CD" w14:textId="77777777" w:rsidR="00FA5FC9" w:rsidRDefault="00000000">
            <w:pPr>
              <w:widowControl/>
              <w:snapToGrid w:val="0"/>
              <w:jc w:val="center"/>
              <w:rPr>
                <w:rFonts w:ascii="黑体" w:eastAsia="黑体" w:hAnsi="黑体" w:cs="宋体" w:hint="eastAsia"/>
                <w:b/>
                <w:kern w:val="0"/>
                <w:sz w:val="20"/>
                <w:szCs w:val="20"/>
              </w:rPr>
            </w:pPr>
            <w:r>
              <w:rPr>
                <w:rFonts w:ascii="黑体" w:eastAsia="黑体" w:hAnsi="黑体" w:cs="宋体" w:hint="eastAsia"/>
                <w:b/>
                <w:kern w:val="0"/>
                <w:sz w:val="20"/>
                <w:szCs w:val="20"/>
              </w:rPr>
              <w:t>个/台</w:t>
            </w:r>
          </w:p>
        </w:tc>
        <w:tc>
          <w:tcPr>
            <w:tcW w:w="739" w:type="dxa"/>
            <w:tcBorders>
              <w:top w:val="single" w:sz="4" w:space="0" w:color="auto"/>
              <w:left w:val="single" w:sz="4" w:space="0" w:color="auto"/>
              <w:bottom w:val="single" w:sz="4" w:space="0" w:color="auto"/>
              <w:right w:val="single" w:sz="4" w:space="0" w:color="auto"/>
            </w:tcBorders>
            <w:vAlign w:val="center"/>
          </w:tcPr>
          <w:p w14:paraId="0146C4B2" w14:textId="77777777" w:rsidR="00FA5FC9" w:rsidRDefault="00000000">
            <w:pPr>
              <w:widowControl/>
              <w:snapToGrid w:val="0"/>
              <w:jc w:val="center"/>
              <w:rPr>
                <w:rFonts w:ascii="黑体" w:eastAsia="黑体" w:hAnsi="黑体" w:cs="宋体" w:hint="eastAsia"/>
                <w:b/>
                <w:kern w:val="0"/>
                <w:sz w:val="20"/>
                <w:szCs w:val="20"/>
              </w:rPr>
            </w:pPr>
            <w:r>
              <w:rPr>
                <w:rFonts w:ascii="黑体" w:eastAsia="黑体" w:hAnsi="黑体" w:cs="宋体" w:hint="eastAsia"/>
                <w:b/>
                <w:kern w:val="0"/>
                <w:sz w:val="20"/>
                <w:szCs w:val="20"/>
              </w:rPr>
              <w:t>(kg)</w:t>
            </w:r>
          </w:p>
        </w:tc>
        <w:tc>
          <w:tcPr>
            <w:tcW w:w="1158" w:type="dxa"/>
            <w:vMerge/>
            <w:tcBorders>
              <w:top w:val="single" w:sz="4" w:space="0" w:color="auto"/>
              <w:left w:val="single" w:sz="4" w:space="0" w:color="auto"/>
              <w:bottom w:val="single" w:sz="4" w:space="0" w:color="auto"/>
              <w:right w:val="single" w:sz="4" w:space="0" w:color="auto"/>
            </w:tcBorders>
            <w:vAlign w:val="center"/>
          </w:tcPr>
          <w:p w14:paraId="12F49BA3" w14:textId="77777777" w:rsidR="00FA5FC9" w:rsidRDefault="00FA5FC9">
            <w:pPr>
              <w:widowControl/>
              <w:snapToGrid w:val="0"/>
              <w:jc w:val="center"/>
              <w:rPr>
                <w:rFonts w:ascii="黑体" w:eastAsia="黑体" w:hAnsi="黑体" w:cs="宋体" w:hint="eastAsia"/>
                <w:b/>
                <w:kern w:val="0"/>
                <w:sz w:val="20"/>
                <w:szCs w:val="20"/>
              </w:rPr>
            </w:pPr>
          </w:p>
        </w:tc>
      </w:tr>
      <w:tr w:rsidR="00FA5FC9" w14:paraId="255879A5"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1798D9B6" w14:textId="77777777" w:rsidR="00FA5FC9" w:rsidRDefault="00000000">
            <w:pPr>
              <w:widowControl/>
              <w:snapToGrid w:val="0"/>
              <w:jc w:val="center"/>
              <w:rPr>
                <w:rFonts w:ascii="宋体" w:hAnsi="黑体" w:cs="宋体" w:hint="eastAsia"/>
                <w:kern w:val="0"/>
                <w:sz w:val="20"/>
                <w:szCs w:val="20"/>
              </w:rPr>
            </w:pPr>
            <w:r>
              <w:rPr>
                <w:rFonts w:ascii="宋体" w:hAnsi="宋体" w:cs="宋体" w:hint="eastAsia"/>
                <w:kern w:val="0"/>
                <w:sz w:val="20"/>
                <w:szCs w:val="20"/>
              </w:rPr>
              <w:t>1</w:t>
            </w:r>
          </w:p>
        </w:tc>
        <w:tc>
          <w:tcPr>
            <w:tcW w:w="0" w:type="auto"/>
            <w:tcBorders>
              <w:top w:val="single" w:sz="4" w:space="0" w:color="auto"/>
              <w:left w:val="single" w:sz="4" w:space="0" w:color="auto"/>
              <w:bottom w:val="single" w:sz="4" w:space="0" w:color="auto"/>
              <w:right w:val="single" w:sz="4" w:space="0" w:color="auto"/>
            </w:tcBorders>
            <w:vAlign w:val="center"/>
          </w:tcPr>
          <w:p w14:paraId="5DE4D0C4" w14:textId="77777777" w:rsidR="00FA5FC9" w:rsidRDefault="00000000">
            <w:pPr>
              <w:widowControl/>
              <w:snapToGrid w:val="0"/>
              <w:jc w:val="center"/>
              <w:rPr>
                <w:rFonts w:ascii="宋体" w:hAnsi="黑体" w:cs="宋体" w:hint="eastAsia"/>
                <w:kern w:val="0"/>
                <w:sz w:val="20"/>
                <w:szCs w:val="20"/>
              </w:rPr>
            </w:pPr>
            <w:r>
              <w:rPr>
                <w:rFonts w:ascii="宋体" w:hAnsi="宋体" w:cs="宋体" w:hint="eastAsia"/>
                <w:kern w:val="0"/>
                <w:sz w:val="20"/>
                <w:szCs w:val="20"/>
              </w:rPr>
              <w:t>E-01</w:t>
            </w:r>
          </w:p>
        </w:tc>
        <w:tc>
          <w:tcPr>
            <w:tcW w:w="1256" w:type="dxa"/>
            <w:tcBorders>
              <w:top w:val="single" w:sz="4" w:space="0" w:color="auto"/>
              <w:left w:val="single" w:sz="4" w:space="0" w:color="auto"/>
              <w:bottom w:val="single" w:sz="4" w:space="0" w:color="auto"/>
              <w:right w:val="single" w:sz="4" w:space="0" w:color="auto"/>
            </w:tcBorders>
            <w:vAlign w:val="center"/>
          </w:tcPr>
          <w:p w14:paraId="2E29CB24" w14:textId="77777777" w:rsidR="00FA5FC9" w:rsidRDefault="00000000">
            <w:pPr>
              <w:widowControl/>
              <w:snapToGrid w:val="0"/>
              <w:jc w:val="center"/>
              <w:rPr>
                <w:rFonts w:ascii="宋体" w:hAnsi="黑体" w:cs="宋体" w:hint="eastAsia"/>
                <w:kern w:val="0"/>
                <w:sz w:val="20"/>
                <w:szCs w:val="20"/>
              </w:rPr>
            </w:pPr>
            <w:r>
              <w:rPr>
                <w:rFonts w:ascii="宋体" w:hAnsi="宋体" w:cs="宋体" w:hint="eastAsia"/>
                <w:kern w:val="0"/>
                <w:sz w:val="20"/>
                <w:szCs w:val="20"/>
              </w:rPr>
              <w:t>蒸汽-导热油换热器</w:t>
            </w:r>
          </w:p>
        </w:tc>
        <w:tc>
          <w:tcPr>
            <w:tcW w:w="3216" w:type="dxa"/>
            <w:tcBorders>
              <w:top w:val="single" w:sz="4" w:space="0" w:color="auto"/>
              <w:left w:val="single" w:sz="4" w:space="0" w:color="auto"/>
              <w:bottom w:val="single" w:sz="4" w:space="0" w:color="auto"/>
              <w:right w:val="single" w:sz="4" w:space="0" w:color="auto"/>
            </w:tcBorders>
            <w:vAlign w:val="center"/>
          </w:tcPr>
          <w:p w14:paraId="1462F90D" w14:textId="77777777" w:rsidR="00FA5FC9" w:rsidRDefault="00000000">
            <w:pPr>
              <w:widowControl/>
              <w:snapToGrid w:val="0"/>
              <w:jc w:val="left"/>
              <w:rPr>
                <w:rFonts w:ascii="宋体" w:hAnsi="黑体" w:cs="宋体" w:hint="eastAsia"/>
                <w:kern w:val="0"/>
                <w:sz w:val="20"/>
                <w:szCs w:val="20"/>
              </w:rPr>
            </w:pPr>
            <w:r>
              <w:rPr>
                <w:rFonts w:ascii="宋体" w:hAnsi="宋体" w:cs="宋体" w:hint="eastAsia"/>
                <w:kern w:val="0"/>
                <w:sz w:val="20"/>
                <w:szCs w:val="20"/>
              </w:rPr>
              <w:t>规格：</w:t>
            </w:r>
          </w:p>
        </w:tc>
        <w:tc>
          <w:tcPr>
            <w:tcW w:w="838" w:type="dxa"/>
            <w:tcBorders>
              <w:top w:val="single" w:sz="4" w:space="0" w:color="auto"/>
              <w:left w:val="single" w:sz="4" w:space="0" w:color="auto"/>
              <w:bottom w:val="single" w:sz="4" w:space="0" w:color="auto"/>
              <w:right w:val="single" w:sz="4" w:space="0" w:color="auto"/>
            </w:tcBorders>
            <w:vAlign w:val="center"/>
          </w:tcPr>
          <w:p w14:paraId="33F91A73" w14:textId="77777777" w:rsidR="00FA5FC9" w:rsidRDefault="00000000">
            <w:pPr>
              <w:widowControl/>
              <w:snapToGrid w:val="0"/>
              <w:jc w:val="left"/>
              <w:rPr>
                <w:rFonts w:ascii="宋体" w:hAnsi="黑体" w:cs="宋体" w:hint="eastAsia"/>
                <w:kern w:val="0"/>
                <w:sz w:val="20"/>
                <w:szCs w:val="20"/>
              </w:rPr>
            </w:pPr>
            <w:r>
              <w:rPr>
                <w:rFonts w:ascii="宋体" w:hAnsi="宋体" w:cs="宋体" w:hint="eastAsia"/>
                <w:kern w:val="0"/>
                <w:sz w:val="20"/>
                <w:szCs w:val="20"/>
              </w:rPr>
              <w:t>1</w:t>
            </w:r>
          </w:p>
        </w:tc>
        <w:tc>
          <w:tcPr>
            <w:tcW w:w="739" w:type="dxa"/>
            <w:tcBorders>
              <w:top w:val="single" w:sz="4" w:space="0" w:color="auto"/>
              <w:left w:val="single" w:sz="4" w:space="0" w:color="auto"/>
              <w:bottom w:val="single" w:sz="4" w:space="0" w:color="auto"/>
              <w:right w:val="single" w:sz="4" w:space="0" w:color="auto"/>
            </w:tcBorders>
            <w:vAlign w:val="center"/>
          </w:tcPr>
          <w:p w14:paraId="7678867D" w14:textId="77777777" w:rsidR="00FA5FC9" w:rsidRDefault="00FA5FC9">
            <w:pPr>
              <w:widowControl/>
              <w:snapToGrid w:val="0"/>
              <w:jc w:val="center"/>
              <w:rPr>
                <w:rFonts w:ascii="宋体" w:hAnsi="黑体" w:cs="宋体" w:hint="eastAsia"/>
                <w:kern w:val="0"/>
                <w:sz w:val="20"/>
                <w:szCs w:val="20"/>
              </w:rPr>
            </w:pPr>
          </w:p>
        </w:tc>
        <w:tc>
          <w:tcPr>
            <w:tcW w:w="1158" w:type="dxa"/>
            <w:tcBorders>
              <w:top w:val="single" w:sz="4" w:space="0" w:color="auto"/>
              <w:left w:val="single" w:sz="4" w:space="0" w:color="auto"/>
              <w:bottom w:val="single" w:sz="4" w:space="0" w:color="auto"/>
              <w:right w:val="single" w:sz="4" w:space="0" w:color="auto"/>
            </w:tcBorders>
            <w:vAlign w:val="center"/>
          </w:tcPr>
          <w:p w14:paraId="08CC6C04" w14:textId="77777777" w:rsidR="00FA5FC9" w:rsidRDefault="00000000">
            <w:pPr>
              <w:widowControl/>
              <w:snapToGrid w:val="0"/>
              <w:jc w:val="right"/>
              <w:rPr>
                <w:rFonts w:ascii="宋体" w:hAnsi="黑体" w:cs="宋体" w:hint="eastAsia"/>
                <w:kern w:val="0"/>
                <w:sz w:val="20"/>
                <w:szCs w:val="20"/>
              </w:rPr>
            </w:pPr>
            <w:r>
              <w:rPr>
                <w:rFonts w:ascii="宋体" w:hAnsi="宋体" w:cs="宋体" w:hint="eastAsia"/>
                <w:kern w:val="0"/>
                <w:sz w:val="20"/>
                <w:szCs w:val="20"/>
              </w:rPr>
              <w:t>带本体仪表阀门</w:t>
            </w:r>
          </w:p>
        </w:tc>
      </w:tr>
      <w:tr w:rsidR="00FA5FC9" w14:paraId="20F89359"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4E3F7E84" w14:textId="77777777" w:rsidR="00FA5FC9" w:rsidRDefault="00FA5FC9">
            <w:pPr>
              <w:widowControl/>
              <w:snapToGrid w:val="0"/>
              <w:jc w:val="center"/>
              <w:rPr>
                <w:rFonts w:ascii="宋体" w:hAnsi="黑体" w:cs="宋体" w:hint="eastAsia"/>
                <w:kern w:val="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4E5640B" w14:textId="77777777" w:rsidR="00FA5FC9" w:rsidRDefault="00FA5FC9">
            <w:pPr>
              <w:widowControl/>
              <w:snapToGrid w:val="0"/>
              <w:jc w:val="center"/>
              <w:rPr>
                <w:rFonts w:ascii="宋体" w:hAnsi="黑体" w:cs="宋体" w:hint="eastAsia"/>
                <w:kern w:val="0"/>
                <w:sz w:val="20"/>
                <w:szCs w:val="20"/>
              </w:rPr>
            </w:pPr>
          </w:p>
        </w:tc>
        <w:tc>
          <w:tcPr>
            <w:tcW w:w="1256" w:type="dxa"/>
            <w:tcBorders>
              <w:top w:val="single" w:sz="4" w:space="0" w:color="auto"/>
              <w:left w:val="single" w:sz="4" w:space="0" w:color="auto"/>
              <w:bottom w:val="single" w:sz="4" w:space="0" w:color="auto"/>
              <w:right w:val="single" w:sz="4" w:space="0" w:color="auto"/>
            </w:tcBorders>
            <w:vAlign w:val="center"/>
          </w:tcPr>
          <w:p w14:paraId="1F3BEEE3" w14:textId="77777777" w:rsidR="00FA5FC9" w:rsidRDefault="00FA5FC9">
            <w:pPr>
              <w:widowControl/>
              <w:snapToGrid w:val="0"/>
              <w:jc w:val="center"/>
              <w:rPr>
                <w:rFonts w:ascii="宋体" w:hAnsi="黑体" w:cs="宋体" w:hint="eastAsia"/>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14:paraId="59483BBA" w14:textId="77777777" w:rsidR="00FA5FC9" w:rsidRDefault="00000000">
            <w:pPr>
              <w:widowControl/>
              <w:snapToGrid w:val="0"/>
              <w:jc w:val="left"/>
              <w:rPr>
                <w:rFonts w:ascii="宋体" w:hAnsi="黑体" w:cs="宋体" w:hint="eastAsia"/>
                <w:kern w:val="0"/>
                <w:sz w:val="20"/>
                <w:szCs w:val="20"/>
              </w:rPr>
            </w:pPr>
            <w:r>
              <w:rPr>
                <w:rFonts w:ascii="宋体" w:hAnsi="宋体" w:cs="宋体" w:hint="eastAsia"/>
                <w:kern w:val="0"/>
                <w:sz w:val="20"/>
                <w:szCs w:val="20"/>
              </w:rPr>
              <w:t>换热面积：&gt;195m</w:t>
            </w:r>
            <w:r>
              <w:rPr>
                <w:rFonts w:ascii="宋体" w:hAnsi="宋体" w:cs="宋体" w:hint="eastAsia"/>
                <w:kern w:val="0"/>
                <w:sz w:val="20"/>
                <w:szCs w:val="20"/>
                <w:vertAlign w:val="superscript"/>
              </w:rPr>
              <w:t>2</w:t>
            </w:r>
            <w:r>
              <w:rPr>
                <w:rFonts w:ascii="宋体" w:hAnsi="宋体" w:cs="宋体" w:hint="eastAsia"/>
                <w:kern w:val="0"/>
                <w:sz w:val="20"/>
                <w:szCs w:val="20"/>
              </w:rPr>
              <w:t>(预留20%余量)</w:t>
            </w:r>
          </w:p>
        </w:tc>
        <w:tc>
          <w:tcPr>
            <w:tcW w:w="838" w:type="dxa"/>
            <w:tcBorders>
              <w:top w:val="single" w:sz="4" w:space="0" w:color="auto"/>
              <w:left w:val="single" w:sz="4" w:space="0" w:color="auto"/>
              <w:bottom w:val="single" w:sz="4" w:space="0" w:color="auto"/>
              <w:right w:val="single" w:sz="4" w:space="0" w:color="auto"/>
            </w:tcBorders>
            <w:vAlign w:val="center"/>
          </w:tcPr>
          <w:p w14:paraId="4328306D" w14:textId="77777777" w:rsidR="00FA5FC9" w:rsidRDefault="00FA5FC9">
            <w:pPr>
              <w:widowControl/>
              <w:snapToGrid w:val="0"/>
              <w:jc w:val="left"/>
              <w:rPr>
                <w:rFonts w:ascii="宋体" w:hAnsi="黑体" w:cs="宋体" w:hint="eastAsia"/>
                <w:kern w:val="0"/>
                <w:sz w:val="20"/>
                <w:szCs w:val="20"/>
              </w:rPr>
            </w:pPr>
          </w:p>
        </w:tc>
        <w:tc>
          <w:tcPr>
            <w:tcW w:w="739" w:type="dxa"/>
            <w:tcBorders>
              <w:top w:val="single" w:sz="4" w:space="0" w:color="auto"/>
              <w:left w:val="single" w:sz="4" w:space="0" w:color="auto"/>
              <w:bottom w:val="single" w:sz="4" w:space="0" w:color="auto"/>
              <w:right w:val="single" w:sz="4" w:space="0" w:color="auto"/>
            </w:tcBorders>
            <w:vAlign w:val="center"/>
          </w:tcPr>
          <w:p w14:paraId="77D6A7FA" w14:textId="77777777" w:rsidR="00FA5FC9" w:rsidRDefault="00FA5FC9">
            <w:pPr>
              <w:widowControl/>
              <w:snapToGrid w:val="0"/>
              <w:jc w:val="center"/>
              <w:rPr>
                <w:rFonts w:ascii="宋体" w:hAnsi="黑体" w:cs="宋体" w:hint="eastAsia"/>
                <w:kern w:val="0"/>
                <w:sz w:val="20"/>
                <w:szCs w:val="20"/>
              </w:rPr>
            </w:pPr>
          </w:p>
        </w:tc>
        <w:tc>
          <w:tcPr>
            <w:tcW w:w="1158" w:type="dxa"/>
            <w:tcBorders>
              <w:top w:val="single" w:sz="4" w:space="0" w:color="auto"/>
              <w:left w:val="single" w:sz="4" w:space="0" w:color="auto"/>
              <w:bottom w:val="single" w:sz="4" w:space="0" w:color="auto"/>
              <w:right w:val="single" w:sz="4" w:space="0" w:color="auto"/>
            </w:tcBorders>
            <w:vAlign w:val="center"/>
          </w:tcPr>
          <w:p w14:paraId="00F70E9F" w14:textId="77777777" w:rsidR="00FA5FC9" w:rsidRDefault="00FA5FC9">
            <w:pPr>
              <w:widowControl/>
              <w:snapToGrid w:val="0"/>
              <w:jc w:val="right"/>
              <w:rPr>
                <w:rFonts w:ascii="宋体" w:hAnsi="黑体" w:cs="宋体" w:hint="eastAsia"/>
                <w:kern w:val="0"/>
                <w:sz w:val="20"/>
                <w:szCs w:val="20"/>
              </w:rPr>
            </w:pPr>
          </w:p>
        </w:tc>
      </w:tr>
      <w:tr w:rsidR="00FA5FC9" w14:paraId="25EA3E9F"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7B398FE7" w14:textId="77777777" w:rsidR="00FA5FC9" w:rsidRDefault="00FA5FC9">
            <w:pPr>
              <w:widowControl/>
              <w:snapToGrid w:val="0"/>
              <w:jc w:val="center"/>
              <w:rPr>
                <w:rFonts w:ascii="宋体" w:hAnsi="黑体" w:cs="宋体" w:hint="eastAsia"/>
                <w:kern w:val="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A527CB3" w14:textId="77777777" w:rsidR="00FA5FC9" w:rsidRDefault="00FA5FC9">
            <w:pPr>
              <w:widowControl/>
              <w:snapToGrid w:val="0"/>
              <w:jc w:val="center"/>
              <w:rPr>
                <w:rFonts w:ascii="宋体" w:hAnsi="黑体" w:cs="宋体" w:hint="eastAsia"/>
                <w:kern w:val="0"/>
                <w:sz w:val="20"/>
                <w:szCs w:val="20"/>
              </w:rPr>
            </w:pPr>
          </w:p>
        </w:tc>
        <w:tc>
          <w:tcPr>
            <w:tcW w:w="1256" w:type="dxa"/>
            <w:tcBorders>
              <w:top w:val="single" w:sz="4" w:space="0" w:color="auto"/>
              <w:left w:val="single" w:sz="4" w:space="0" w:color="auto"/>
              <w:bottom w:val="single" w:sz="4" w:space="0" w:color="auto"/>
              <w:right w:val="single" w:sz="4" w:space="0" w:color="auto"/>
            </w:tcBorders>
            <w:vAlign w:val="center"/>
          </w:tcPr>
          <w:p w14:paraId="7986D749" w14:textId="77777777" w:rsidR="00FA5FC9" w:rsidRDefault="00FA5FC9">
            <w:pPr>
              <w:widowControl/>
              <w:snapToGrid w:val="0"/>
              <w:jc w:val="center"/>
              <w:rPr>
                <w:rFonts w:ascii="宋体" w:hAnsi="黑体" w:cs="宋体" w:hint="eastAsia"/>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14:paraId="44FDF9D0" w14:textId="77777777" w:rsidR="00FA5FC9" w:rsidRDefault="00000000">
            <w:pPr>
              <w:widowControl/>
              <w:snapToGrid w:val="0"/>
              <w:jc w:val="left"/>
              <w:rPr>
                <w:rFonts w:ascii="宋体" w:hAnsi="黑体" w:cs="宋体" w:hint="eastAsia"/>
                <w:kern w:val="0"/>
                <w:sz w:val="20"/>
                <w:szCs w:val="20"/>
              </w:rPr>
            </w:pPr>
            <w:r>
              <w:rPr>
                <w:rFonts w:ascii="宋体" w:hAnsi="宋体" w:cs="宋体" w:hint="eastAsia"/>
                <w:kern w:val="0"/>
                <w:sz w:val="20"/>
                <w:szCs w:val="20"/>
              </w:rPr>
              <w:t>设计压力3.8Mpa，设计温度430℃</w:t>
            </w:r>
          </w:p>
        </w:tc>
        <w:tc>
          <w:tcPr>
            <w:tcW w:w="838" w:type="dxa"/>
            <w:tcBorders>
              <w:top w:val="single" w:sz="4" w:space="0" w:color="auto"/>
              <w:left w:val="single" w:sz="4" w:space="0" w:color="auto"/>
              <w:bottom w:val="single" w:sz="4" w:space="0" w:color="auto"/>
              <w:right w:val="single" w:sz="4" w:space="0" w:color="auto"/>
            </w:tcBorders>
            <w:vAlign w:val="center"/>
          </w:tcPr>
          <w:p w14:paraId="5E6588C9" w14:textId="77777777" w:rsidR="00FA5FC9" w:rsidRDefault="00FA5FC9">
            <w:pPr>
              <w:widowControl/>
              <w:snapToGrid w:val="0"/>
              <w:jc w:val="left"/>
              <w:rPr>
                <w:rFonts w:ascii="宋体" w:hAnsi="黑体" w:cs="宋体" w:hint="eastAsia"/>
                <w:kern w:val="0"/>
                <w:sz w:val="20"/>
                <w:szCs w:val="20"/>
              </w:rPr>
            </w:pPr>
          </w:p>
        </w:tc>
        <w:tc>
          <w:tcPr>
            <w:tcW w:w="739" w:type="dxa"/>
            <w:tcBorders>
              <w:top w:val="single" w:sz="4" w:space="0" w:color="auto"/>
              <w:left w:val="single" w:sz="4" w:space="0" w:color="auto"/>
              <w:bottom w:val="single" w:sz="4" w:space="0" w:color="auto"/>
              <w:right w:val="single" w:sz="4" w:space="0" w:color="auto"/>
            </w:tcBorders>
            <w:vAlign w:val="center"/>
          </w:tcPr>
          <w:p w14:paraId="783D7A42" w14:textId="77777777" w:rsidR="00FA5FC9" w:rsidRDefault="00FA5FC9">
            <w:pPr>
              <w:widowControl/>
              <w:snapToGrid w:val="0"/>
              <w:jc w:val="center"/>
              <w:rPr>
                <w:rFonts w:ascii="宋体" w:hAnsi="黑体" w:cs="宋体" w:hint="eastAsia"/>
                <w:kern w:val="0"/>
                <w:sz w:val="20"/>
                <w:szCs w:val="20"/>
              </w:rPr>
            </w:pPr>
          </w:p>
        </w:tc>
        <w:tc>
          <w:tcPr>
            <w:tcW w:w="1158" w:type="dxa"/>
            <w:tcBorders>
              <w:top w:val="single" w:sz="4" w:space="0" w:color="auto"/>
              <w:left w:val="single" w:sz="4" w:space="0" w:color="auto"/>
              <w:bottom w:val="single" w:sz="4" w:space="0" w:color="auto"/>
              <w:right w:val="single" w:sz="4" w:space="0" w:color="auto"/>
            </w:tcBorders>
            <w:vAlign w:val="center"/>
          </w:tcPr>
          <w:p w14:paraId="69881DC0" w14:textId="77777777" w:rsidR="00FA5FC9" w:rsidRDefault="00FA5FC9">
            <w:pPr>
              <w:widowControl/>
              <w:snapToGrid w:val="0"/>
              <w:jc w:val="right"/>
              <w:rPr>
                <w:rFonts w:ascii="宋体" w:hAnsi="黑体" w:cs="宋体" w:hint="eastAsia"/>
                <w:kern w:val="0"/>
                <w:sz w:val="20"/>
                <w:szCs w:val="20"/>
              </w:rPr>
            </w:pPr>
          </w:p>
        </w:tc>
      </w:tr>
      <w:tr w:rsidR="00FA5FC9" w14:paraId="38BCA9D0"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26711482" w14:textId="77777777" w:rsidR="00FA5FC9" w:rsidRDefault="00FA5FC9">
            <w:pPr>
              <w:widowControl/>
              <w:snapToGrid w:val="0"/>
              <w:jc w:val="center"/>
              <w:rPr>
                <w:rFonts w:ascii="宋体" w:hAnsi="黑体" w:cs="宋体" w:hint="eastAsia"/>
                <w:kern w:val="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B2C8249" w14:textId="77777777" w:rsidR="00FA5FC9" w:rsidRDefault="00FA5FC9">
            <w:pPr>
              <w:widowControl/>
              <w:snapToGrid w:val="0"/>
              <w:jc w:val="center"/>
              <w:rPr>
                <w:rFonts w:ascii="宋体" w:hAnsi="黑体" w:cs="宋体" w:hint="eastAsia"/>
                <w:kern w:val="0"/>
                <w:sz w:val="20"/>
                <w:szCs w:val="20"/>
              </w:rPr>
            </w:pPr>
          </w:p>
        </w:tc>
        <w:tc>
          <w:tcPr>
            <w:tcW w:w="1256" w:type="dxa"/>
            <w:tcBorders>
              <w:top w:val="single" w:sz="4" w:space="0" w:color="auto"/>
              <w:left w:val="single" w:sz="4" w:space="0" w:color="auto"/>
              <w:bottom w:val="single" w:sz="4" w:space="0" w:color="auto"/>
              <w:right w:val="single" w:sz="4" w:space="0" w:color="auto"/>
            </w:tcBorders>
            <w:vAlign w:val="center"/>
          </w:tcPr>
          <w:p w14:paraId="558F1A29" w14:textId="77777777" w:rsidR="00FA5FC9" w:rsidRDefault="00FA5FC9">
            <w:pPr>
              <w:widowControl/>
              <w:snapToGrid w:val="0"/>
              <w:jc w:val="center"/>
              <w:rPr>
                <w:rFonts w:ascii="宋体" w:hAnsi="黑体" w:cs="宋体" w:hint="eastAsia"/>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14:paraId="6DEB8975" w14:textId="77777777" w:rsidR="00FA5FC9" w:rsidRDefault="00000000">
            <w:pPr>
              <w:widowControl/>
              <w:snapToGrid w:val="0"/>
              <w:jc w:val="left"/>
              <w:rPr>
                <w:rFonts w:ascii="宋体" w:hAnsi="黑体" w:cs="宋体" w:hint="eastAsia"/>
                <w:kern w:val="0"/>
                <w:sz w:val="20"/>
                <w:szCs w:val="20"/>
              </w:rPr>
            </w:pPr>
            <w:r>
              <w:rPr>
                <w:rFonts w:ascii="宋体" w:hAnsi="宋体" w:cs="宋体" w:hint="eastAsia"/>
                <w:kern w:val="0"/>
                <w:sz w:val="20"/>
                <w:szCs w:val="20"/>
              </w:rPr>
              <w:t>换热量：2300kw</w:t>
            </w:r>
          </w:p>
        </w:tc>
        <w:tc>
          <w:tcPr>
            <w:tcW w:w="838" w:type="dxa"/>
            <w:tcBorders>
              <w:top w:val="single" w:sz="4" w:space="0" w:color="auto"/>
              <w:left w:val="single" w:sz="4" w:space="0" w:color="auto"/>
              <w:bottom w:val="single" w:sz="4" w:space="0" w:color="auto"/>
              <w:right w:val="single" w:sz="4" w:space="0" w:color="auto"/>
            </w:tcBorders>
            <w:vAlign w:val="center"/>
          </w:tcPr>
          <w:p w14:paraId="0005434C" w14:textId="77777777" w:rsidR="00FA5FC9" w:rsidRDefault="00FA5FC9">
            <w:pPr>
              <w:widowControl/>
              <w:snapToGrid w:val="0"/>
              <w:jc w:val="left"/>
              <w:rPr>
                <w:rFonts w:ascii="宋体" w:hAnsi="黑体" w:cs="宋体" w:hint="eastAsia"/>
                <w:kern w:val="0"/>
                <w:sz w:val="20"/>
                <w:szCs w:val="20"/>
              </w:rPr>
            </w:pPr>
          </w:p>
        </w:tc>
        <w:tc>
          <w:tcPr>
            <w:tcW w:w="739" w:type="dxa"/>
            <w:tcBorders>
              <w:top w:val="single" w:sz="4" w:space="0" w:color="auto"/>
              <w:left w:val="single" w:sz="4" w:space="0" w:color="auto"/>
              <w:bottom w:val="single" w:sz="4" w:space="0" w:color="auto"/>
              <w:right w:val="single" w:sz="4" w:space="0" w:color="auto"/>
            </w:tcBorders>
            <w:vAlign w:val="center"/>
          </w:tcPr>
          <w:p w14:paraId="64F35C66" w14:textId="77777777" w:rsidR="00FA5FC9" w:rsidRDefault="00FA5FC9">
            <w:pPr>
              <w:widowControl/>
              <w:snapToGrid w:val="0"/>
              <w:jc w:val="center"/>
              <w:rPr>
                <w:rFonts w:ascii="宋体" w:hAnsi="黑体" w:cs="宋体" w:hint="eastAsia"/>
                <w:kern w:val="0"/>
                <w:sz w:val="20"/>
                <w:szCs w:val="20"/>
              </w:rPr>
            </w:pPr>
          </w:p>
        </w:tc>
        <w:tc>
          <w:tcPr>
            <w:tcW w:w="1158" w:type="dxa"/>
            <w:tcBorders>
              <w:top w:val="single" w:sz="4" w:space="0" w:color="auto"/>
              <w:left w:val="single" w:sz="4" w:space="0" w:color="auto"/>
              <w:bottom w:val="single" w:sz="4" w:space="0" w:color="auto"/>
              <w:right w:val="single" w:sz="4" w:space="0" w:color="auto"/>
            </w:tcBorders>
            <w:vAlign w:val="center"/>
          </w:tcPr>
          <w:p w14:paraId="672CB22F" w14:textId="77777777" w:rsidR="00FA5FC9" w:rsidRDefault="00FA5FC9">
            <w:pPr>
              <w:widowControl/>
              <w:snapToGrid w:val="0"/>
              <w:jc w:val="right"/>
              <w:rPr>
                <w:rFonts w:ascii="宋体" w:hAnsi="黑体" w:cs="宋体" w:hint="eastAsia"/>
                <w:kern w:val="0"/>
                <w:sz w:val="20"/>
                <w:szCs w:val="20"/>
              </w:rPr>
            </w:pPr>
          </w:p>
        </w:tc>
      </w:tr>
      <w:tr w:rsidR="00FA5FC9" w14:paraId="6B7A0E3F"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38CB6A41" w14:textId="77777777" w:rsidR="00FA5FC9" w:rsidRDefault="00FA5FC9">
            <w:pPr>
              <w:widowControl/>
              <w:snapToGrid w:val="0"/>
              <w:jc w:val="center"/>
              <w:rPr>
                <w:rFonts w:ascii="宋体" w:hAnsi="黑体" w:cs="宋体" w:hint="eastAsia"/>
                <w:kern w:val="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EB80359" w14:textId="77777777" w:rsidR="00FA5FC9" w:rsidRDefault="00FA5FC9">
            <w:pPr>
              <w:widowControl/>
              <w:snapToGrid w:val="0"/>
              <w:jc w:val="center"/>
              <w:rPr>
                <w:rFonts w:ascii="宋体" w:hAnsi="黑体" w:cs="宋体" w:hint="eastAsia"/>
                <w:kern w:val="0"/>
                <w:sz w:val="20"/>
                <w:szCs w:val="20"/>
              </w:rPr>
            </w:pPr>
          </w:p>
        </w:tc>
        <w:tc>
          <w:tcPr>
            <w:tcW w:w="1256" w:type="dxa"/>
            <w:tcBorders>
              <w:top w:val="single" w:sz="4" w:space="0" w:color="auto"/>
              <w:left w:val="single" w:sz="4" w:space="0" w:color="auto"/>
              <w:bottom w:val="single" w:sz="4" w:space="0" w:color="auto"/>
              <w:right w:val="single" w:sz="4" w:space="0" w:color="auto"/>
            </w:tcBorders>
            <w:vAlign w:val="center"/>
          </w:tcPr>
          <w:p w14:paraId="24654EF7" w14:textId="77777777" w:rsidR="00FA5FC9" w:rsidRDefault="00FA5FC9">
            <w:pPr>
              <w:widowControl/>
              <w:snapToGrid w:val="0"/>
              <w:jc w:val="center"/>
              <w:rPr>
                <w:rFonts w:ascii="宋体" w:hAnsi="黑体" w:cs="宋体" w:hint="eastAsia"/>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14:paraId="5D932748" w14:textId="77777777" w:rsidR="00FA5FC9" w:rsidRDefault="00000000">
            <w:pPr>
              <w:widowControl/>
              <w:snapToGrid w:val="0"/>
              <w:jc w:val="left"/>
              <w:rPr>
                <w:rFonts w:ascii="宋体" w:hAnsi="宋体" w:cs="宋体" w:hint="eastAsia"/>
                <w:kern w:val="0"/>
                <w:sz w:val="20"/>
                <w:szCs w:val="20"/>
              </w:rPr>
            </w:pPr>
            <w:r>
              <w:rPr>
                <w:rFonts w:ascii="宋体" w:hAnsi="宋体" w:cs="宋体" w:hint="eastAsia"/>
                <w:kern w:val="0"/>
                <w:sz w:val="20"/>
                <w:szCs w:val="20"/>
              </w:rPr>
              <w:t>蒸汽：25t/h，390℃-255℃，3.4Mpa</w:t>
            </w:r>
          </w:p>
        </w:tc>
        <w:tc>
          <w:tcPr>
            <w:tcW w:w="838" w:type="dxa"/>
            <w:tcBorders>
              <w:top w:val="single" w:sz="4" w:space="0" w:color="auto"/>
              <w:left w:val="single" w:sz="4" w:space="0" w:color="auto"/>
              <w:bottom w:val="single" w:sz="4" w:space="0" w:color="auto"/>
              <w:right w:val="single" w:sz="4" w:space="0" w:color="auto"/>
            </w:tcBorders>
            <w:vAlign w:val="center"/>
          </w:tcPr>
          <w:p w14:paraId="7156CEEB" w14:textId="77777777" w:rsidR="00FA5FC9" w:rsidRDefault="00FA5FC9">
            <w:pPr>
              <w:widowControl/>
              <w:snapToGrid w:val="0"/>
              <w:jc w:val="left"/>
              <w:rPr>
                <w:rFonts w:ascii="宋体" w:hAnsi="黑体" w:cs="宋体" w:hint="eastAsia"/>
                <w:kern w:val="0"/>
                <w:sz w:val="20"/>
                <w:szCs w:val="20"/>
              </w:rPr>
            </w:pPr>
          </w:p>
        </w:tc>
        <w:tc>
          <w:tcPr>
            <w:tcW w:w="739" w:type="dxa"/>
            <w:tcBorders>
              <w:top w:val="single" w:sz="4" w:space="0" w:color="auto"/>
              <w:left w:val="single" w:sz="4" w:space="0" w:color="auto"/>
              <w:bottom w:val="single" w:sz="4" w:space="0" w:color="auto"/>
              <w:right w:val="single" w:sz="4" w:space="0" w:color="auto"/>
            </w:tcBorders>
            <w:vAlign w:val="center"/>
          </w:tcPr>
          <w:p w14:paraId="2A4CFE71" w14:textId="77777777" w:rsidR="00FA5FC9" w:rsidRDefault="00FA5FC9">
            <w:pPr>
              <w:widowControl/>
              <w:snapToGrid w:val="0"/>
              <w:jc w:val="center"/>
              <w:rPr>
                <w:rFonts w:ascii="宋体" w:hAnsi="黑体" w:cs="宋体" w:hint="eastAsia"/>
                <w:kern w:val="0"/>
                <w:sz w:val="20"/>
                <w:szCs w:val="20"/>
              </w:rPr>
            </w:pPr>
          </w:p>
        </w:tc>
        <w:tc>
          <w:tcPr>
            <w:tcW w:w="1158" w:type="dxa"/>
            <w:tcBorders>
              <w:top w:val="single" w:sz="4" w:space="0" w:color="auto"/>
              <w:left w:val="single" w:sz="4" w:space="0" w:color="auto"/>
              <w:bottom w:val="single" w:sz="4" w:space="0" w:color="auto"/>
              <w:right w:val="single" w:sz="4" w:space="0" w:color="auto"/>
            </w:tcBorders>
            <w:vAlign w:val="center"/>
          </w:tcPr>
          <w:p w14:paraId="66C9EC45" w14:textId="77777777" w:rsidR="00FA5FC9" w:rsidRDefault="00FA5FC9">
            <w:pPr>
              <w:widowControl/>
              <w:snapToGrid w:val="0"/>
              <w:jc w:val="right"/>
              <w:rPr>
                <w:rFonts w:ascii="宋体" w:hAnsi="黑体" w:cs="宋体" w:hint="eastAsia"/>
                <w:kern w:val="0"/>
                <w:sz w:val="20"/>
                <w:szCs w:val="20"/>
              </w:rPr>
            </w:pPr>
          </w:p>
        </w:tc>
      </w:tr>
      <w:tr w:rsidR="00FA5FC9" w14:paraId="2ED4B685"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44817867" w14:textId="77777777" w:rsidR="00FA5FC9" w:rsidRDefault="00FA5FC9">
            <w:pPr>
              <w:widowControl/>
              <w:snapToGrid w:val="0"/>
              <w:jc w:val="center"/>
              <w:rPr>
                <w:rFonts w:ascii="宋体" w:hAnsi="黑体" w:cs="宋体" w:hint="eastAsia"/>
                <w:kern w:val="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5F4E873" w14:textId="77777777" w:rsidR="00FA5FC9" w:rsidRDefault="00FA5FC9">
            <w:pPr>
              <w:widowControl/>
              <w:snapToGrid w:val="0"/>
              <w:jc w:val="center"/>
              <w:rPr>
                <w:rFonts w:ascii="宋体" w:hAnsi="黑体" w:cs="宋体" w:hint="eastAsia"/>
                <w:kern w:val="0"/>
                <w:sz w:val="20"/>
                <w:szCs w:val="20"/>
              </w:rPr>
            </w:pPr>
          </w:p>
        </w:tc>
        <w:tc>
          <w:tcPr>
            <w:tcW w:w="1256" w:type="dxa"/>
            <w:tcBorders>
              <w:top w:val="single" w:sz="4" w:space="0" w:color="auto"/>
              <w:left w:val="single" w:sz="4" w:space="0" w:color="auto"/>
              <w:bottom w:val="single" w:sz="4" w:space="0" w:color="auto"/>
              <w:right w:val="single" w:sz="4" w:space="0" w:color="auto"/>
            </w:tcBorders>
            <w:vAlign w:val="center"/>
          </w:tcPr>
          <w:p w14:paraId="0F86663D" w14:textId="77777777" w:rsidR="00FA5FC9" w:rsidRDefault="00FA5FC9">
            <w:pPr>
              <w:widowControl/>
              <w:snapToGrid w:val="0"/>
              <w:jc w:val="center"/>
              <w:rPr>
                <w:rFonts w:ascii="宋体" w:hAnsi="黑体" w:cs="宋体" w:hint="eastAsia"/>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14:paraId="320CD933" w14:textId="77777777" w:rsidR="00FA5FC9" w:rsidRDefault="00000000">
            <w:pPr>
              <w:widowControl/>
              <w:snapToGrid w:val="0"/>
              <w:jc w:val="left"/>
              <w:rPr>
                <w:rFonts w:ascii="宋体" w:hAnsi="宋体" w:cs="宋体" w:hint="eastAsia"/>
                <w:kern w:val="0"/>
                <w:sz w:val="20"/>
                <w:szCs w:val="20"/>
              </w:rPr>
            </w:pPr>
            <w:r>
              <w:rPr>
                <w:rFonts w:ascii="宋体" w:hAnsi="宋体" w:cs="宋体" w:hint="eastAsia"/>
                <w:kern w:val="0"/>
                <w:sz w:val="20"/>
                <w:szCs w:val="20"/>
              </w:rPr>
              <w:t>导热油：125t/h，导热温度245℃-270℃。密度0.68</w:t>
            </w:r>
          </w:p>
        </w:tc>
        <w:tc>
          <w:tcPr>
            <w:tcW w:w="838" w:type="dxa"/>
            <w:tcBorders>
              <w:top w:val="single" w:sz="4" w:space="0" w:color="auto"/>
              <w:left w:val="single" w:sz="4" w:space="0" w:color="auto"/>
              <w:bottom w:val="single" w:sz="4" w:space="0" w:color="auto"/>
              <w:right w:val="single" w:sz="4" w:space="0" w:color="auto"/>
            </w:tcBorders>
            <w:vAlign w:val="center"/>
          </w:tcPr>
          <w:p w14:paraId="31F5455B" w14:textId="77777777" w:rsidR="00FA5FC9" w:rsidRDefault="00FA5FC9">
            <w:pPr>
              <w:widowControl/>
              <w:snapToGrid w:val="0"/>
              <w:jc w:val="left"/>
              <w:rPr>
                <w:rFonts w:ascii="宋体" w:hAnsi="黑体" w:cs="宋体" w:hint="eastAsia"/>
                <w:kern w:val="0"/>
                <w:sz w:val="20"/>
                <w:szCs w:val="20"/>
              </w:rPr>
            </w:pPr>
          </w:p>
        </w:tc>
        <w:tc>
          <w:tcPr>
            <w:tcW w:w="739" w:type="dxa"/>
            <w:tcBorders>
              <w:top w:val="single" w:sz="4" w:space="0" w:color="auto"/>
              <w:left w:val="single" w:sz="4" w:space="0" w:color="auto"/>
              <w:bottom w:val="single" w:sz="4" w:space="0" w:color="auto"/>
              <w:right w:val="single" w:sz="4" w:space="0" w:color="auto"/>
            </w:tcBorders>
            <w:vAlign w:val="center"/>
          </w:tcPr>
          <w:p w14:paraId="29728702" w14:textId="77777777" w:rsidR="00FA5FC9" w:rsidRDefault="00FA5FC9">
            <w:pPr>
              <w:widowControl/>
              <w:snapToGrid w:val="0"/>
              <w:jc w:val="center"/>
              <w:rPr>
                <w:rFonts w:ascii="宋体" w:hAnsi="黑体" w:cs="宋体" w:hint="eastAsia"/>
                <w:kern w:val="0"/>
                <w:sz w:val="20"/>
                <w:szCs w:val="20"/>
              </w:rPr>
            </w:pPr>
          </w:p>
        </w:tc>
        <w:tc>
          <w:tcPr>
            <w:tcW w:w="1158" w:type="dxa"/>
            <w:tcBorders>
              <w:top w:val="single" w:sz="4" w:space="0" w:color="auto"/>
              <w:left w:val="single" w:sz="4" w:space="0" w:color="auto"/>
              <w:bottom w:val="single" w:sz="4" w:space="0" w:color="auto"/>
              <w:right w:val="single" w:sz="4" w:space="0" w:color="auto"/>
            </w:tcBorders>
            <w:vAlign w:val="center"/>
          </w:tcPr>
          <w:p w14:paraId="29B20E20" w14:textId="77777777" w:rsidR="00FA5FC9" w:rsidRDefault="00000000">
            <w:pPr>
              <w:widowControl/>
              <w:snapToGrid w:val="0"/>
              <w:jc w:val="right"/>
              <w:rPr>
                <w:rFonts w:ascii="宋体" w:hAnsi="黑体" w:cs="宋体" w:hint="eastAsia"/>
                <w:kern w:val="0"/>
                <w:sz w:val="20"/>
                <w:szCs w:val="20"/>
              </w:rPr>
            </w:pPr>
            <w:r>
              <w:rPr>
                <w:rFonts w:ascii="宋体" w:hAnsi="等线" w:cs="宋体" w:hint="eastAsia"/>
                <w:color w:val="000000"/>
                <w:kern w:val="0"/>
                <w:sz w:val="20"/>
                <w:szCs w:val="20"/>
              </w:rPr>
              <w:t>导热油：道达尔</w:t>
            </w:r>
          </w:p>
        </w:tc>
      </w:tr>
      <w:tr w:rsidR="00FA5FC9" w14:paraId="3AAE8259"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316ADE70" w14:textId="77777777" w:rsidR="00FA5FC9" w:rsidRDefault="00000000">
            <w:pPr>
              <w:widowControl/>
              <w:snapToGrid w:val="0"/>
              <w:jc w:val="center"/>
              <w:rPr>
                <w:rFonts w:ascii="宋体" w:hAnsi="黑体" w:cs="宋体" w:hint="eastAsia"/>
                <w:kern w:val="0"/>
                <w:sz w:val="20"/>
                <w:szCs w:val="20"/>
              </w:rPr>
            </w:pPr>
            <w:r>
              <w:rPr>
                <w:rFonts w:ascii="宋体" w:hAnsi="黑体" w:cs="宋体" w:hint="eastAsia"/>
                <w:kern w:val="0"/>
                <w:sz w:val="20"/>
                <w:szCs w:val="20"/>
              </w:rPr>
              <w:t>2</w:t>
            </w:r>
          </w:p>
        </w:tc>
        <w:tc>
          <w:tcPr>
            <w:tcW w:w="0" w:type="auto"/>
            <w:tcBorders>
              <w:top w:val="single" w:sz="4" w:space="0" w:color="auto"/>
              <w:left w:val="single" w:sz="4" w:space="0" w:color="auto"/>
              <w:bottom w:val="single" w:sz="4" w:space="0" w:color="auto"/>
              <w:right w:val="single" w:sz="4" w:space="0" w:color="auto"/>
            </w:tcBorders>
            <w:vAlign w:val="center"/>
          </w:tcPr>
          <w:p w14:paraId="6BE44B85" w14:textId="77777777" w:rsidR="00FA5FC9" w:rsidRDefault="00000000">
            <w:pPr>
              <w:widowControl/>
              <w:snapToGrid w:val="0"/>
              <w:jc w:val="center"/>
              <w:rPr>
                <w:rFonts w:ascii="宋体" w:hAnsi="黑体" w:cs="宋体" w:hint="eastAsia"/>
                <w:kern w:val="0"/>
                <w:sz w:val="20"/>
                <w:szCs w:val="20"/>
              </w:rPr>
            </w:pPr>
            <w:r>
              <w:rPr>
                <w:rFonts w:ascii="宋体" w:hAnsi="黑体" w:cs="宋体" w:hint="eastAsia"/>
                <w:kern w:val="0"/>
                <w:sz w:val="20"/>
                <w:szCs w:val="20"/>
              </w:rPr>
              <w:t>E-05</w:t>
            </w:r>
          </w:p>
        </w:tc>
        <w:tc>
          <w:tcPr>
            <w:tcW w:w="1256" w:type="dxa"/>
            <w:tcBorders>
              <w:top w:val="single" w:sz="4" w:space="0" w:color="auto"/>
              <w:left w:val="single" w:sz="4" w:space="0" w:color="auto"/>
              <w:bottom w:val="single" w:sz="4" w:space="0" w:color="auto"/>
              <w:right w:val="single" w:sz="4" w:space="0" w:color="auto"/>
            </w:tcBorders>
            <w:vAlign w:val="center"/>
          </w:tcPr>
          <w:p w14:paraId="30322F8B" w14:textId="77777777" w:rsidR="00FA5FC9" w:rsidRDefault="00000000">
            <w:pPr>
              <w:widowControl/>
              <w:snapToGrid w:val="0"/>
              <w:jc w:val="center"/>
              <w:rPr>
                <w:rFonts w:ascii="宋体" w:hAnsi="黑体" w:cs="宋体" w:hint="eastAsia"/>
                <w:kern w:val="0"/>
                <w:sz w:val="20"/>
                <w:szCs w:val="20"/>
              </w:rPr>
            </w:pPr>
            <w:r>
              <w:rPr>
                <w:rFonts w:ascii="宋体" w:hAnsi="宋体" w:cs="宋体" w:hint="eastAsia"/>
                <w:kern w:val="0"/>
                <w:sz w:val="20"/>
                <w:szCs w:val="20"/>
              </w:rPr>
              <w:t>闪蒸罐</w:t>
            </w:r>
          </w:p>
        </w:tc>
        <w:tc>
          <w:tcPr>
            <w:tcW w:w="3216" w:type="dxa"/>
            <w:tcBorders>
              <w:top w:val="single" w:sz="4" w:space="0" w:color="auto"/>
              <w:left w:val="single" w:sz="4" w:space="0" w:color="auto"/>
              <w:bottom w:val="single" w:sz="4" w:space="0" w:color="auto"/>
              <w:right w:val="single" w:sz="4" w:space="0" w:color="auto"/>
            </w:tcBorders>
            <w:vAlign w:val="center"/>
          </w:tcPr>
          <w:p w14:paraId="1056B5A6" w14:textId="77777777" w:rsidR="00FA5FC9" w:rsidRDefault="00000000">
            <w:pPr>
              <w:widowControl/>
              <w:snapToGrid w:val="0"/>
              <w:jc w:val="left"/>
              <w:rPr>
                <w:rFonts w:ascii="宋体" w:hAnsi="宋体" w:cs="宋体" w:hint="eastAsia"/>
                <w:kern w:val="0"/>
                <w:sz w:val="20"/>
                <w:szCs w:val="20"/>
              </w:rPr>
            </w:pPr>
            <w:r>
              <w:rPr>
                <w:rFonts w:ascii="宋体" w:hAnsi="宋体" w:cs="宋体" w:hint="eastAsia"/>
                <w:kern w:val="0"/>
                <w:sz w:val="20"/>
                <w:szCs w:val="20"/>
              </w:rPr>
              <w:t>进水压力：2.0Mpa，温度212℃</w:t>
            </w:r>
          </w:p>
        </w:tc>
        <w:tc>
          <w:tcPr>
            <w:tcW w:w="838" w:type="dxa"/>
            <w:tcBorders>
              <w:top w:val="single" w:sz="4" w:space="0" w:color="auto"/>
              <w:left w:val="single" w:sz="4" w:space="0" w:color="auto"/>
              <w:bottom w:val="single" w:sz="4" w:space="0" w:color="auto"/>
              <w:right w:val="single" w:sz="4" w:space="0" w:color="auto"/>
            </w:tcBorders>
            <w:vAlign w:val="center"/>
          </w:tcPr>
          <w:p w14:paraId="69836616" w14:textId="77777777" w:rsidR="00FA5FC9" w:rsidRDefault="00FA5FC9">
            <w:pPr>
              <w:widowControl/>
              <w:snapToGrid w:val="0"/>
              <w:jc w:val="left"/>
              <w:rPr>
                <w:rFonts w:ascii="宋体" w:hAnsi="黑体" w:cs="宋体" w:hint="eastAsia"/>
                <w:kern w:val="0"/>
                <w:sz w:val="20"/>
                <w:szCs w:val="20"/>
              </w:rPr>
            </w:pPr>
          </w:p>
        </w:tc>
        <w:tc>
          <w:tcPr>
            <w:tcW w:w="739" w:type="dxa"/>
            <w:tcBorders>
              <w:top w:val="single" w:sz="4" w:space="0" w:color="auto"/>
              <w:left w:val="single" w:sz="4" w:space="0" w:color="auto"/>
              <w:bottom w:val="single" w:sz="4" w:space="0" w:color="auto"/>
              <w:right w:val="single" w:sz="4" w:space="0" w:color="auto"/>
            </w:tcBorders>
            <w:vAlign w:val="center"/>
          </w:tcPr>
          <w:p w14:paraId="70F05073" w14:textId="77777777" w:rsidR="00FA5FC9" w:rsidRDefault="00FA5FC9">
            <w:pPr>
              <w:widowControl/>
              <w:snapToGrid w:val="0"/>
              <w:jc w:val="center"/>
              <w:rPr>
                <w:rFonts w:ascii="宋体" w:hAnsi="黑体" w:cs="宋体" w:hint="eastAsia"/>
                <w:kern w:val="0"/>
                <w:sz w:val="20"/>
                <w:szCs w:val="20"/>
              </w:rPr>
            </w:pPr>
          </w:p>
        </w:tc>
        <w:tc>
          <w:tcPr>
            <w:tcW w:w="1158" w:type="dxa"/>
            <w:tcBorders>
              <w:top w:val="single" w:sz="4" w:space="0" w:color="auto"/>
              <w:left w:val="single" w:sz="4" w:space="0" w:color="auto"/>
              <w:bottom w:val="single" w:sz="4" w:space="0" w:color="auto"/>
              <w:right w:val="single" w:sz="4" w:space="0" w:color="auto"/>
            </w:tcBorders>
            <w:vAlign w:val="center"/>
          </w:tcPr>
          <w:p w14:paraId="4E4B52A6" w14:textId="77777777" w:rsidR="00FA5FC9" w:rsidRDefault="00000000">
            <w:pPr>
              <w:widowControl/>
              <w:snapToGrid w:val="0"/>
              <w:jc w:val="right"/>
              <w:rPr>
                <w:rFonts w:ascii="宋体" w:hAnsi="等线" w:cs="宋体" w:hint="eastAsia"/>
                <w:color w:val="000000"/>
                <w:kern w:val="0"/>
                <w:sz w:val="20"/>
                <w:szCs w:val="20"/>
              </w:rPr>
            </w:pPr>
            <w:r>
              <w:rPr>
                <w:rFonts w:ascii="宋体" w:hAnsi="宋体" w:cs="宋体" w:hint="eastAsia"/>
                <w:kern w:val="0"/>
                <w:sz w:val="20"/>
                <w:szCs w:val="20"/>
              </w:rPr>
              <w:t>带本体仪表阀门</w:t>
            </w:r>
          </w:p>
        </w:tc>
      </w:tr>
      <w:tr w:rsidR="00FA5FC9" w14:paraId="38728C8C" w14:textId="77777777">
        <w:trPr>
          <w:jc w:val="center"/>
        </w:trPr>
        <w:tc>
          <w:tcPr>
            <w:tcW w:w="523" w:type="dxa"/>
            <w:tcBorders>
              <w:top w:val="single" w:sz="4" w:space="0" w:color="auto"/>
              <w:left w:val="single" w:sz="4" w:space="0" w:color="auto"/>
              <w:bottom w:val="single" w:sz="4" w:space="0" w:color="auto"/>
              <w:right w:val="single" w:sz="4" w:space="0" w:color="auto"/>
            </w:tcBorders>
            <w:vAlign w:val="center"/>
          </w:tcPr>
          <w:p w14:paraId="53CB5437" w14:textId="77777777" w:rsidR="00FA5FC9" w:rsidRDefault="00FA5FC9">
            <w:pPr>
              <w:widowControl/>
              <w:snapToGrid w:val="0"/>
              <w:jc w:val="center"/>
              <w:rPr>
                <w:rFonts w:ascii="宋体" w:hAnsi="宋体" w:cs="宋体" w:hint="eastAsia"/>
                <w:kern w:val="0"/>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A6AB18D" w14:textId="77777777" w:rsidR="00FA5FC9" w:rsidRDefault="00FA5FC9">
            <w:pPr>
              <w:widowControl/>
              <w:snapToGrid w:val="0"/>
              <w:jc w:val="center"/>
              <w:rPr>
                <w:rFonts w:ascii="宋体" w:hAnsi="宋体" w:cs="宋体" w:hint="eastAsia"/>
                <w:kern w:val="0"/>
                <w:sz w:val="20"/>
                <w:szCs w:val="20"/>
              </w:rPr>
            </w:pPr>
          </w:p>
        </w:tc>
        <w:tc>
          <w:tcPr>
            <w:tcW w:w="1256" w:type="dxa"/>
            <w:tcBorders>
              <w:top w:val="single" w:sz="4" w:space="0" w:color="auto"/>
              <w:left w:val="single" w:sz="4" w:space="0" w:color="auto"/>
              <w:bottom w:val="single" w:sz="4" w:space="0" w:color="auto"/>
              <w:right w:val="single" w:sz="4" w:space="0" w:color="auto"/>
            </w:tcBorders>
            <w:vAlign w:val="center"/>
          </w:tcPr>
          <w:p w14:paraId="2A2A3375" w14:textId="77777777" w:rsidR="00FA5FC9" w:rsidRDefault="00FA5FC9">
            <w:pPr>
              <w:widowControl/>
              <w:snapToGrid w:val="0"/>
              <w:jc w:val="center"/>
              <w:rPr>
                <w:rFonts w:ascii="宋体" w:hAnsi="宋体" w:cs="宋体" w:hint="eastAsia"/>
                <w:kern w:val="0"/>
                <w:sz w:val="20"/>
                <w:szCs w:val="20"/>
              </w:rPr>
            </w:pPr>
          </w:p>
        </w:tc>
        <w:tc>
          <w:tcPr>
            <w:tcW w:w="3216" w:type="dxa"/>
            <w:tcBorders>
              <w:top w:val="single" w:sz="4" w:space="0" w:color="auto"/>
              <w:left w:val="single" w:sz="4" w:space="0" w:color="auto"/>
              <w:bottom w:val="single" w:sz="4" w:space="0" w:color="auto"/>
              <w:right w:val="single" w:sz="4" w:space="0" w:color="auto"/>
            </w:tcBorders>
            <w:vAlign w:val="center"/>
          </w:tcPr>
          <w:p w14:paraId="3004E30D" w14:textId="77777777" w:rsidR="00FA5FC9" w:rsidRDefault="00000000">
            <w:pPr>
              <w:widowControl/>
              <w:snapToGrid w:val="0"/>
              <w:jc w:val="left"/>
              <w:rPr>
                <w:rFonts w:ascii="宋体" w:hAnsi="宋体" w:cs="宋体" w:hint="eastAsia"/>
                <w:kern w:val="0"/>
                <w:sz w:val="20"/>
                <w:szCs w:val="20"/>
              </w:rPr>
            </w:pPr>
            <w:r>
              <w:rPr>
                <w:rFonts w:ascii="宋体" w:hAnsi="宋体" w:cs="宋体" w:hint="eastAsia"/>
                <w:kern w:val="0"/>
                <w:sz w:val="20"/>
                <w:szCs w:val="20"/>
              </w:rPr>
              <w:t>容积：1m3，闪蒸后压力0.8MPa</w:t>
            </w:r>
          </w:p>
        </w:tc>
        <w:tc>
          <w:tcPr>
            <w:tcW w:w="838" w:type="dxa"/>
            <w:tcBorders>
              <w:top w:val="single" w:sz="4" w:space="0" w:color="auto"/>
              <w:left w:val="single" w:sz="4" w:space="0" w:color="auto"/>
              <w:bottom w:val="single" w:sz="4" w:space="0" w:color="auto"/>
              <w:right w:val="single" w:sz="4" w:space="0" w:color="auto"/>
            </w:tcBorders>
            <w:vAlign w:val="center"/>
          </w:tcPr>
          <w:p w14:paraId="46873181" w14:textId="77777777" w:rsidR="00FA5FC9" w:rsidRDefault="00FA5FC9">
            <w:pPr>
              <w:widowControl/>
              <w:snapToGrid w:val="0"/>
              <w:jc w:val="left"/>
              <w:rPr>
                <w:rFonts w:ascii="宋体" w:hAnsi="宋体" w:cs="宋体" w:hint="eastAsia"/>
                <w:kern w:val="0"/>
                <w:sz w:val="20"/>
                <w:szCs w:val="20"/>
              </w:rPr>
            </w:pPr>
          </w:p>
        </w:tc>
        <w:tc>
          <w:tcPr>
            <w:tcW w:w="739" w:type="dxa"/>
            <w:tcBorders>
              <w:top w:val="single" w:sz="4" w:space="0" w:color="auto"/>
              <w:left w:val="single" w:sz="4" w:space="0" w:color="auto"/>
              <w:bottom w:val="single" w:sz="4" w:space="0" w:color="auto"/>
              <w:right w:val="single" w:sz="4" w:space="0" w:color="auto"/>
            </w:tcBorders>
            <w:vAlign w:val="center"/>
          </w:tcPr>
          <w:p w14:paraId="4B82FC27" w14:textId="77777777" w:rsidR="00FA5FC9" w:rsidRDefault="00FA5FC9">
            <w:pPr>
              <w:widowControl/>
              <w:snapToGrid w:val="0"/>
              <w:jc w:val="center"/>
              <w:rPr>
                <w:rFonts w:ascii="宋体" w:hAnsi="宋体" w:cs="宋体" w:hint="eastAsia"/>
                <w:kern w:val="0"/>
                <w:sz w:val="20"/>
                <w:szCs w:val="20"/>
              </w:rPr>
            </w:pPr>
          </w:p>
        </w:tc>
        <w:tc>
          <w:tcPr>
            <w:tcW w:w="1158" w:type="dxa"/>
            <w:tcBorders>
              <w:top w:val="single" w:sz="4" w:space="0" w:color="auto"/>
              <w:left w:val="single" w:sz="4" w:space="0" w:color="auto"/>
              <w:bottom w:val="single" w:sz="4" w:space="0" w:color="auto"/>
              <w:right w:val="single" w:sz="4" w:space="0" w:color="auto"/>
            </w:tcBorders>
            <w:vAlign w:val="center"/>
          </w:tcPr>
          <w:p w14:paraId="7B103949" w14:textId="77777777" w:rsidR="00FA5FC9" w:rsidRDefault="00FA5FC9">
            <w:pPr>
              <w:widowControl/>
              <w:snapToGrid w:val="0"/>
              <w:jc w:val="right"/>
              <w:rPr>
                <w:rFonts w:ascii="宋体" w:hAnsi="宋体" w:cs="宋体" w:hint="eastAsia"/>
                <w:kern w:val="0"/>
                <w:sz w:val="20"/>
                <w:szCs w:val="20"/>
              </w:rPr>
            </w:pPr>
          </w:p>
        </w:tc>
      </w:tr>
    </w:tbl>
    <w:p w14:paraId="1D86A769" w14:textId="77777777" w:rsidR="00FA5FC9" w:rsidRDefault="00FA5FC9"/>
    <w:p w14:paraId="51D124BC" w14:textId="77777777" w:rsidR="00FA5FC9" w:rsidRDefault="00000000">
      <w:pPr>
        <w:pStyle w:val="1"/>
        <w:spacing w:beforeLines="50" w:before="156" w:afterLines="50" w:after="156" w:line="360" w:lineRule="auto"/>
        <w:ind w:left="369" w:hanging="369"/>
        <w:rPr>
          <w:rFonts w:ascii="Times New Roman" w:eastAsia="宋体" w:hAnsi="Times New Roman" w:cs="宋体"/>
          <w:b/>
          <w:color w:val="auto"/>
          <w:sz w:val="28"/>
          <w:szCs w:val="28"/>
        </w:rPr>
      </w:pPr>
      <w:bookmarkStart w:id="2" w:name="_Toc2324"/>
      <w:r>
        <w:rPr>
          <w:rFonts w:ascii="Times New Roman" w:eastAsia="宋体" w:hAnsi="Times New Roman" w:cs="宋体" w:hint="eastAsia"/>
          <w:b/>
          <w:color w:val="auto"/>
          <w:sz w:val="28"/>
          <w:szCs w:val="28"/>
        </w:rPr>
        <w:t>3.</w:t>
      </w:r>
      <w:r>
        <w:rPr>
          <w:rFonts w:ascii="Times New Roman" w:eastAsia="宋体" w:hAnsi="Times New Roman" w:cs="宋体" w:hint="eastAsia"/>
          <w:b/>
          <w:color w:val="auto"/>
          <w:sz w:val="28"/>
          <w:szCs w:val="28"/>
        </w:rPr>
        <w:t>技术要求</w:t>
      </w:r>
      <w:bookmarkEnd w:id="2"/>
    </w:p>
    <w:p w14:paraId="5F7B25F9" w14:textId="77777777" w:rsidR="00FA5FC9" w:rsidRDefault="00000000">
      <w:pPr>
        <w:spacing w:line="360" w:lineRule="auto"/>
        <w:rPr>
          <w:sz w:val="24"/>
        </w:rPr>
      </w:pPr>
      <w:r>
        <w:rPr>
          <w:rFonts w:hint="eastAsia"/>
          <w:sz w:val="24"/>
        </w:rPr>
        <w:t>3</w:t>
      </w:r>
      <w:r>
        <w:rPr>
          <w:sz w:val="24"/>
        </w:rPr>
        <w:t>.1</w:t>
      </w:r>
      <w:r>
        <w:rPr>
          <w:rFonts w:hint="eastAsia"/>
          <w:sz w:val="24"/>
        </w:rPr>
        <w:t xml:space="preserve"> </w:t>
      </w:r>
      <w:r>
        <w:rPr>
          <w:rFonts w:hAnsi="宋体" w:hint="eastAsia"/>
          <w:sz w:val="24"/>
        </w:rPr>
        <w:t>投标方</w:t>
      </w:r>
      <w:r>
        <w:rPr>
          <w:rFonts w:hAnsi="宋体"/>
          <w:sz w:val="24"/>
        </w:rPr>
        <w:t>负责所有</w:t>
      </w:r>
      <w:r>
        <w:rPr>
          <w:rFonts w:hAnsi="宋体" w:hint="eastAsia"/>
          <w:sz w:val="24"/>
        </w:rPr>
        <w:t>设备</w:t>
      </w:r>
      <w:r>
        <w:rPr>
          <w:rFonts w:hAnsi="宋体"/>
          <w:sz w:val="24"/>
        </w:rPr>
        <w:t>的</w:t>
      </w:r>
      <w:r>
        <w:rPr>
          <w:rFonts w:hAnsi="宋体" w:hint="eastAsia"/>
          <w:sz w:val="24"/>
        </w:rPr>
        <w:t>选型、</w:t>
      </w:r>
      <w:r>
        <w:rPr>
          <w:rFonts w:hAnsi="宋体"/>
          <w:sz w:val="24"/>
        </w:rPr>
        <w:t>选材</w:t>
      </w:r>
      <w:r>
        <w:rPr>
          <w:rFonts w:hAnsi="宋体" w:hint="eastAsia"/>
          <w:sz w:val="24"/>
        </w:rPr>
        <w:t>，并提供设备总装图</w:t>
      </w:r>
      <w:r>
        <w:rPr>
          <w:rFonts w:hAnsi="宋体"/>
          <w:sz w:val="24"/>
        </w:rPr>
        <w:t>。</w:t>
      </w:r>
    </w:p>
    <w:p w14:paraId="126CADF5" w14:textId="77777777" w:rsidR="00FA5FC9" w:rsidRDefault="00000000">
      <w:pPr>
        <w:spacing w:line="360" w:lineRule="auto"/>
        <w:rPr>
          <w:rFonts w:hAnsi="宋体" w:hint="eastAsia"/>
          <w:sz w:val="24"/>
        </w:rPr>
      </w:pPr>
      <w:r>
        <w:rPr>
          <w:rFonts w:hint="eastAsia"/>
          <w:sz w:val="24"/>
        </w:rPr>
        <w:t>3</w:t>
      </w:r>
      <w:r>
        <w:rPr>
          <w:sz w:val="24"/>
        </w:rPr>
        <w:t>.</w:t>
      </w:r>
      <w:r>
        <w:rPr>
          <w:rFonts w:hint="eastAsia"/>
          <w:sz w:val="24"/>
        </w:rPr>
        <w:t>2</w:t>
      </w:r>
      <w:r>
        <w:rPr>
          <w:sz w:val="24"/>
        </w:rPr>
        <w:t xml:space="preserve"> </w:t>
      </w:r>
      <w:r>
        <w:rPr>
          <w:rFonts w:hAnsi="宋体" w:hint="eastAsia"/>
          <w:sz w:val="24"/>
        </w:rPr>
        <w:t>招标方对设备</w:t>
      </w:r>
      <w:r>
        <w:rPr>
          <w:rFonts w:hAnsi="宋体"/>
          <w:sz w:val="24"/>
        </w:rPr>
        <w:t>总</w:t>
      </w:r>
      <w:r>
        <w:rPr>
          <w:rFonts w:hAnsi="宋体" w:hint="eastAsia"/>
          <w:sz w:val="24"/>
        </w:rPr>
        <w:t>装</w:t>
      </w:r>
      <w:r>
        <w:rPr>
          <w:rFonts w:hAnsi="宋体"/>
          <w:sz w:val="24"/>
        </w:rPr>
        <w:t>图进行确认，</w:t>
      </w:r>
      <w:r>
        <w:rPr>
          <w:rFonts w:hAnsi="宋体" w:hint="eastAsia"/>
          <w:sz w:val="24"/>
        </w:rPr>
        <w:t>招标方</w:t>
      </w:r>
      <w:r>
        <w:rPr>
          <w:rFonts w:hAnsi="宋体"/>
          <w:sz w:val="24"/>
        </w:rPr>
        <w:t>的确认丝毫不免除</w:t>
      </w:r>
      <w:r>
        <w:rPr>
          <w:rFonts w:hAnsi="宋体" w:hint="eastAsia"/>
          <w:sz w:val="24"/>
        </w:rPr>
        <w:t>投标方</w:t>
      </w:r>
      <w:r>
        <w:rPr>
          <w:rFonts w:hAnsi="宋体"/>
          <w:sz w:val="24"/>
        </w:rPr>
        <w:t>应负的责任。</w:t>
      </w:r>
    </w:p>
    <w:p w14:paraId="6E5A4414" w14:textId="77777777" w:rsidR="00FA5FC9" w:rsidRDefault="00000000">
      <w:pPr>
        <w:pStyle w:val="2"/>
        <w:keepLines w:val="0"/>
        <w:spacing w:before="0" w:after="0" w:line="360" w:lineRule="auto"/>
        <w:rPr>
          <w:rFonts w:ascii="Times New Roman" w:eastAsia="宋体" w:hAnsi="Times New Roman" w:cs="Times New Roman"/>
          <w:bCs/>
          <w:kern w:val="0"/>
          <w:position w:val="-6"/>
          <w:sz w:val="24"/>
          <w:szCs w:val="24"/>
        </w:rPr>
      </w:pPr>
      <w:bookmarkStart w:id="3" w:name="_Toc1198132"/>
      <w:r>
        <w:rPr>
          <w:rFonts w:ascii="Times New Roman" w:eastAsia="宋体" w:hAnsi="Times New Roman" w:cs="Times New Roman" w:hint="eastAsia"/>
          <w:b/>
          <w:kern w:val="0"/>
          <w:position w:val="-6"/>
          <w:sz w:val="24"/>
          <w:szCs w:val="24"/>
        </w:rPr>
        <w:lastRenderedPageBreak/>
        <w:t>3.3</w:t>
      </w:r>
      <w:r>
        <w:rPr>
          <w:rFonts w:ascii="Times New Roman" w:eastAsia="宋体" w:hAnsi="Times New Roman" w:cs="Times New Roman" w:hint="eastAsia"/>
          <w:b/>
          <w:kern w:val="0"/>
          <w:position w:val="-6"/>
          <w:sz w:val="24"/>
          <w:szCs w:val="24"/>
        </w:rPr>
        <w:t>执行标准及规范</w:t>
      </w:r>
      <w:bookmarkEnd w:id="3"/>
      <w:r>
        <w:rPr>
          <w:rFonts w:ascii="Times New Roman" w:eastAsia="宋体" w:hAnsi="Times New Roman" w:cs="Times New Roman" w:hint="eastAsia"/>
          <w:bCs/>
          <w:kern w:val="0"/>
          <w:position w:val="-6"/>
          <w:sz w:val="24"/>
          <w:szCs w:val="24"/>
        </w:rPr>
        <w:t xml:space="preserve"> </w:t>
      </w:r>
    </w:p>
    <w:p w14:paraId="17F29653" w14:textId="77777777" w:rsidR="00FA5FC9" w:rsidRDefault="00000000">
      <w:pPr>
        <w:spacing w:line="360" w:lineRule="auto"/>
        <w:ind w:firstLineChars="200" w:firstLine="480"/>
        <w:rPr>
          <w:rFonts w:hAnsi="宋体" w:hint="eastAsia"/>
          <w:sz w:val="24"/>
        </w:rPr>
      </w:pPr>
      <w:r>
        <w:rPr>
          <w:rFonts w:hAnsi="宋体" w:hint="eastAsia"/>
          <w:sz w:val="24"/>
        </w:rPr>
        <w:t>设备的设计、制造、喷涂、检验、试验和包装应符合投标方的制造标准及投标方的国家标准，应包括但不局限于下列的有关标准和规范</w:t>
      </w:r>
      <w:r>
        <w:rPr>
          <w:rFonts w:hAnsi="宋体" w:hint="eastAsia"/>
          <w:sz w:val="24"/>
        </w:rPr>
        <w:t>:.</w:t>
      </w:r>
    </w:p>
    <w:p w14:paraId="507DA6B9" w14:textId="77777777" w:rsidR="00FA5FC9" w:rsidRDefault="00000000">
      <w:pPr>
        <w:spacing w:line="360" w:lineRule="auto"/>
        <w:ind w:firstLineChars="200" w:firstLine="480"/>
        <w:rPr>
          <w:rFonts w:hAnsi="宋体" w:hint="eastAsia"/>
          <w:sz w:val="24"/>
        </w:rPr>
      </w:pPr>
      <w:r>
        <w:rPr>
          <w:rFonts w:hAnsi="宋体" w:hint="eastAsia"/>
          <w:sz w:val="24"/>
        </w:rPr>
        <w:t>TSG 21-2016</w:t>
      </w:r>
      <w:r>
        <w:rPr>
          <w:rFonts w:hAnsi="宋体" w:hint="eastAsia"/>
          <w:sz w:val="24"/>
        </w:rPr>
        <w:t>《固定式压力容器安全技术监察规程》</w:t>
      </w:r>
      <w:r>
        <w:rPr>
          <w:rFonts w:hAnsi="宋体"/>
          <w:sz w:val="24"/>
        </w:rPr>
        <w:t>（附第</w:t>
      </w:r>
      <w:r>
        <w:rPr>
          <w:rFonts w:hAnsi="宋体"/>
          <w:sz w:val="24"/>
        </w:rPr>
        <w:t>1</w:t>
      </w:r>
      <w:r>
        <w:rPr>
          <w:rFonts w:hAnsi="宋体"/>
          <w:sz w:val="24"/>
        </w:rPr>
        <w:t>号修改单）</w:t>
      </w:r>
    </w:p>
    <w:p w14:paraId="7F71E65D" w14:textId="77777777" w:rsidR="00FA5FC9" w:rsidRDefault="00000000">
      <w:pPr>
        <w:spacing w:line="360" w:lineRule="auto"/>
        <w:ind w:firstLineChars="200" w:firstLine="480"/>
        <w:rPr>
          <w:rFonts w:hAnsi="宋体" w:hint="eastAsia"/>
          <w:sz w:val="24"/>
        </w:rPr>
      </w:pPr>
      <w:r>
        <w:rPr>
          <w:rFonts w:hAnsi="宋体" w:hint="eastAsia"/>
          <w:sz w:val="24"/>
        </w:rPr>
        <w:t>国务院第</w:t>
      </w:r>
      <w:r>
        <w:rPr>
          <w:rFonts w:hAnsi="宋体" w:hint="eastAsia"/>
          <w:sz w:val="24"/>
        </w:rPr>
        <w:t xml:space="preserve"> 373 </w:t>
      </w:r>
      <w:r>
        <w:rPr>
          <w:rFonts w:hAnsi="宋体" w:hint="eastAsia"/>
          <w:sz w:val="24"/>
        </w:rPr>
        <w:t>号令《特种设备安全监察条例》</w:t>
      </w:r>
    </w:p>
    <w:p w14:paraId="4F9F71D9" w14:textId="77777777" w:rsidR="00FA5FC9" w:rsidRDefault="00000000">
      <w:pPr>
        <w:spacing w:line="360" w:lineRule="auto"/>
        <w:ind w:firstLineChars="200" w:firstLine="480"/>
        <w:rPr>
          <w:rFonts w:hAnsi="宋体" w:hint="eastAsia"/>
          <w:sz w:val="24"/>
        </w:rPr>
      </w:pPr>
      <w:r>
        <w:rPr>
          <w:rFonts w:hAnsi="宋体" w:hint="eastAsia"/>
          <w:sz w:val="24"/>
        </w:rPr>
        <w:t>TSG ZC001-2009</w:t>
      </w:r>
      <w:r>
        <w:rPr>
          <w:rFonts w:hAnsi="宋体" w:hint="eastAsia"/>
          <w:sz w:val="24"/>
        </w:rPr>
        <w:t>《锅炉压力容器专用钢板</w:t>
      </w:r>
      <w:r>
        <w:rPr>
          <w:rFonts w:hAnsi="宋体" w:hint="eastAsia"/>
          <w:sz w:val="24"/>
        </w:rPr>
        <w:t>(</w:t>
      </w:r>
      <w:r>
        <w:rPr>
          <w:rFonts w:hAnsi="宋体" w:hint="eastAsia"/>
          <w:sz w:val="24"/>
        </w:rPr>
        <w:t>带</w:t>
      </w:r>
      <w:r>
        <w:rPr>
          <w:rFonts w:hAnsi="宋体" w:hint="eastAsia"/>
          <w:sz w:val="24"/>
        </w:rPr>
        <w:t>)</w:t>
      </w:r>
      <w:r>
        <w:rPr>
          <w:rFonts w:hAnsi="宋体" w:hint="eastAsia"/>
          <w:sz w:val="24"/>
        </w:rPr>
        <w:t>制造许可规则》</w:t>
      </w:r>
    </w:p>
    <w:p w14:paraId="32DF799C" w14:textId="77777777" w:rsidR="00FA5FC9" w:rsidRDefault="00000000">
      <w:pPr>
        <w:spacing w:line="360" w:lineRule="auto"/>
        <w:ind w:firstLineChars="200" w:firstLine="480"/>
        <w:rPr>
          <w:rFonts w:hAnsi="宋体" w:hint="eastAsia"/>
          <w:sz w:val="24"/>
        </w:rPr>
      </w:pPr>
      <w:r>
        <w:rPr>
          <w:rFonts w:hAnsi="宋体" w:hint="eastAsia"/>
          <w:sz w:val="24"/>
        </w:rPr>
        <w:t>GB/T150-2024</w:t>
      </w:r>
      <w:r>
        <w:rPr>
          <w:rFonts w:hAnsi="宋体" w:hint="eastAsia"/>
          <w:sz w:val="24"/>
        </w:rPr>
        <w:t>《压力容器》</w:t>
      </w:r>
    </w:p>
    <w:p w14:paraId="42491F1A" w14:textId="77777777" w:rsidR="00FA5FC9" w:rsidRDefault="00000000">
      <w:pPr>
        <w:spacing w:line="360" w:lineRule="auto"/>
        <w:ind w:firstLineChars="200" w:firstLine="480"/>
        <w:rPr>
          <w:rFonts w:hAnsi="宋体" w:hint="eastAsia"/>
          <w:sz w:val="24"/>
        </w:rPr>
      </w:pPr>
      <w:r>
        <w:rPr>
          <w:rFonts w:hAnsi="宋体" w:hint="eastAsia"/>
          <w:sz w:val="24"/>
        </w:rPr>
        <w:t>GB/T151-2014</w:t>
      </w:r>
      <w:r>
        <w:rPr>
          <w:rFonts w:hAnsi="宋体" w:hint="eastAsia"/>
          <w:sz w:val="24"/>
        </w:rPr>
        <w:t>《热交换器》</w:t>
      </w:r>
    </w:p>
    <w:p w14:paraId="0A3B0296" w14:textId="77777777" w:rsidR="00FA5FC9" w:rsidRDefault="00000000">
      <w:pPr>
        <w:spacing w:line="360" w:lineRule="auto"/>
        <w:ind w:firstLineChars="200" w:firstLine="480"/>
        <w:rPr>
          <w:rFonts w:hAnsi="宋体" w:hint="eastAsia"/>
          <w:sz w:val="24"/>
        </w:rPr>
      </w:pPr>
      <w:r>
        <w:rPr>
          <w:rFonts w:hAnsi="宋体" w:hint="eastAsia"/>
          <w:sz w:val="24"/>
        </w:rPr>
        <w:t>GB/T13296-2023</w:t>
      </w:r>
      <w:r>
        <w:rPr>
          <w:rFonts w:hAnsi="宋体" w:hint="eastAsia"/>
          <w:sz w:val="24"/>
        </w:rPr>
        <w:t>《锅炉、热交换器用不锈钢无缝钢管》</w:t>
      </w:r>
    </w:p>
    <w:p w14:paraId="14DEFBAD" w14:textId="77777777" w:rsidR="00FA5FC9" w:rsidRDefault="00000000">
      <w:pPr>
        <w:spacing w:line="360" w:lineRule="auto"/>
        <w:ind w:firstLineChars="200" w:firstLine="480"/>
        <w:rPr>
          <w:rFonts w:hAnsi="宋体" w:hint="eastAsia"/>
          <w:sz w:val="24"/>
        </w:rPr>
      </w:pPr>
      <w:r>
        <w:rPr>
          <w:rFonts w:hAnsi="宋体" w:hint="eastAsia"/>
          <w:sz w:val="24"/>
        </w:rPr>
        <w:t>GB/T713.2-2023</w:t>
      </w:r>
      <w:r>
        <w:rPr>
          <w:rFonts w:hAnsi="宋体" w:hint="eastAsia"/>
          <w:sz w:val="24"/>
        </w:rPr>
        <w:t>《承压设备用钢板和钢带</w:t>
      </w:r>
      <w:r>
        <w:rPr>
          <w:rFonts w:hAnsi="宋体" w:hint="eastAsia"/>
          <w:sz w:val="24"/>
        </w:rPr>
        <w:t xml:space="preserve"> </w:t>
      </w:r>
      <w:r>
        <w:rPr>
          <w:rFonts w:hAnsi="宋体" w:hint="eastAsia"/>
          <w:sz w:val="24"/>
        </w:rPr>
        <w:t>第</w:t>
      </w:r>
      <w:r>
        <w:rPr>
          <w:rFonts w:hAnsi="宋体" w:hint="eastAsia"/>
          <w:sz w:val="24"/>
        </w:rPr>
        <w:t>2</w:t>
      </w:r>
      <w:r>
        <w:rPr>
          <w:rFonts w:hAnsi="宋体" w:hint="eastAsia"/>
          <w:sz w:val="24"/>
        </w:rPr>
        <w:t>部分：规定温度性能的非合金钢和合金钢》</w:t>
      </w:r>
    </w:p>
    <w:p w14:paraId="4969E4C1" w14:textId="77777777" w:rsidR="00FA5FC9" w:rsidRDefault="00000000">
      <w:pPr>
        <w:spacing w:line="360" w:lineRule="auto"/>
        <w:ind w:firstLineChars="200" w:firstLine="480"/>
        <w:rPr>
          <w:rFonts w:hAnsi="宋体" w:hint="eastAsia"/>
          <w:sz w:val="24"/>
        </w:rPr>
      </w:pPr>
      <w:r>
        <w:rPr>
          <w:rFonts w:hAnsi="宋体" w:hint="eastAsia"/>
          <w:sz w:val="24"/>
        </w:rPr>
        <w:t>GB/T3274-2017</w:t>
      </w:r>
      <w:r>
        <w:rPr>
          <w:rFonts w:hAnsi="宋体" w:hint="eastAsia"/>
          <w:sz w:val="24"/>
        </w:rPr>
        <w:t>《碳素结构钢和低合金结构钢热轧钢板和钢带》</w:t>
      </w:r>
    </w:p>
    <w:p w14:paraId="7E798FD5" w14:textId="77777777" w:rsidR="00FA5FC9" w:rsidRDefault="00000000">
      <w:pPr>
        <w:spacing w:line="360" w:lineRule="auto"/>
        <w:ind w:firstLineChars="200" w:firstLine="480"/>
        <w:rPr>
          <w:rFonts w:hAnsi="宋体" w:hint="eastAsia"/>
          <w:sz w:val="24"/>
        </w:rPr>
      </w:pPr>
      <w:r>
        <w:rPr>
          <w:rFonts w:hAnsi="宋体" w:hint="eastAsia"/>
          <w:sz w:val="24"/>
        </w:rPr>
        <w:t>GB/T12241-2021</w:t>
      </w:r>
      <w:r>
        <w:rPr>
          <w:rFonts w:hAnsi="宋体" w:hint="eastAsia"/>
          <w:sz w:val="24"/>
        </w:rPr>
        <w:t>《安全阀一般要求》</w:t>
      </w:r>
    </w:p>
    <w:p w14:paraId="188FE8C6" w14:textId="77777777" w:rsidR="00FA5FC9" w:rsidRDefault="00000000">
      <w:pPr>
        <w:spacing w:line="360" w:lineRule="auto"/>
        <w:ind w:firstLineChars="200" w:firstLine="480"/>
        <w:rPr>
          <w:rFonts w:hAnsi="宋体" w:hint="eastAsia"/>
          <w:sz w:val="24"/>
        </w:rPr>
      </w:pPr>
      <w:r>
        <w:rPr>
          <w:rFonts w:hAnsi="宋体" w:hint="eastAsia"/>
          <w:sz w:val="24"/>
        </w:rPr>
        <w:t>GB/T2652-2022</w:t>
      </w:r>
      <w:r>
        <w:rPr>
          <w:rFonts w:hAnsi="宋体" w:hint="eastAsia"/>
          <w:sz w:val="24"/>
        </w:rPr>
        <w:t>《金属材料焊缝破坏性实验熔化焊接头焊缝金属纵向</w:t>
      </w:r>
      <w:r>
        <w:rPr>
          <w:rFonts w:hAnsi="宋体" w:hint="eastAsia"/>
          <w:sz w:val="24"/>
        </w:rPr>
        <w:t xml:space="preserve"> </w:t>
      </w:r>
      <w:r>
        <w:rPr>
          <w:rFonts w:hAnsi="宋体" w:hint="eastAsia"/>
          <w:sz w:val="24"/>
        </w:rPr>
        <w:t>拉伸试验》</w:t>
      </w:r>
    </w:p>
    <w:p w14:paraId="63E1BA49" w14:textId="77777777" w:rsidR="00FA5FC9" w:rsidRDefault="00000000">
      <w:pPr>
        <w:spacing w:line="360" w:lineRule="auto"/>
        <w:ind w:firstLineChars="200" w:firstLine="480"/>
        <w:rPr>
          <w:rFonts w:hAnsi="宋体" w:hint="eastAsia"/>
          <w:sz w:val="24"/>
        </w:rPr>
      </w:pPr>
      <w:r>
        <w:rPr>
          <w:rFonts w:hAnsi="宋体" w:hint="eastAsia"/>
          <w:sz w:val="24"/>
        </w:rPr>
        <w:t>GB/T985.1-2008</w:t>
      </w:r>
      <w:r>
        <w:rPr>
          <w:rFonts w:hAnsi="宋体" w:hint="eastAsia"/>
          <w:sz w:val="24"/>
        </w:rPr>
        <w:t>《气焊、焊条电弧焊、气体保护焊焊和高能束焊的推荐坡口》</w:t>
      </w:r>
    </w:p>
    <w:p w14:paraId="65B471DC" w14:textId="77777777" w:rsidR="00FA5FC9" w:rsidRDefault="00000000">
      <w:pPr>
        <w:spacing w:line="360" w:lineRule="auto"/>
        <w:ind w:firstLineChars="200" w:firstLine="480"/>
        <w:rPr>
          <w:rFonts w:hAnsi="宋体" w:hint="eastAsia"/>
          <w:sz w:val="24"/>
        </w:rPr>
      </w:pPr>
      <w:r>
        <w:rPr>
          <w:rFonts w:hAnsi="宋体" w:hint="eastAsia"/>
          <w:sz w:val="24"/>
        </w:rPr>
        <w:t>NB/T47018.1</w:t>
      </w:r>
      <w:r>
        <w:rPr>
          <w:rFonts w:hAnsi="宋体" w:hint="eastAsia"/>
          <w:sz w:val="24"/>
        </w:rPr>
        <w:t>～</w:t>
      </w:r>
      <w:r>
        <w:rPr>
          <w:rFonts w:hAnsi="宋体" w:hint="eastAsia"/>
          <w:sz w:val="24"/>
        </w:rPr>
        <w:t>3-2017</w:t>
      </w:r>
    </w:p>
    <w:p w14:paraId="568101FA" w14:textId="77777777" w:rsidR="00FA5FC9" w:rsidRDefault="00000000">
      <w:pPr>
        <w:spacing w:line="360" w:lineRule="auto"/>
        <w:ind w:firstLineChars="200" w:firstLine="480"/>
        <w:rPr>
          <w:rFonts w:hAnsi="宋体" w:hint="eastAsia"/>
          <w:sz w:val="24"/>
        </w:rPr>
      </w:pPr>
      <w:r>
        <w:rPr>
          <w:rFonts w:hAnsi="宋体" w:hint="eastAsia"/>
          <w:sz w:val="24"/>
        </w:rPr>
        <w:t>NB/T47018.4-2022</w:t>
      </w:r>
    </w:p>
    <w:p w14:paraId="2E35B3BB" w14:textId="77777777" w:rsidR="00FA5FC9" w:rsidRDefault="00000000">
      <w:pPr>
        <w:spacing w:line="360" w:lineRule="auto"/>
        <w:ind w:firstLineChars="200" w:firstLine="480"/>
        <w:rPr>
          <w:rFonts w:hAnsi="宋体" w:hint="eastAsia"/>
          <w:sz w:val="24"/>
        </w:rPr>
      </w:pPr>
      <w:r>
        <w:rPr>
          <w:rFonts w:hAnsi="宋体" w:hint="eastAsia"/>
          <w:sz w:val="24"/>
        </w:rPr>
        <w:t>NB/T47018.5-2017</w:t>
      </w:r>
    </w:p>
    <w:p w14:paraId="5D3CD397" w14:textId="77777777" w:rsidR="00FA5FC9" w:rsidRDefault="00000000">
      <w:pPr>
        <w:spacing w:line="360" w:lineRule="auto"/>
        <w:ind w:firstLineChars="200" w:firstLine="480"/>
        <w:rPr>
          <w:rFonts w:hAnsi="宋体" w:hint="eastAsia"/>
          <w:sz w:val="24"/>
        </w:rPr>
      </w:pPr>
      <w:r>
        <w:rPr>
          <w:rFonts w:hAnsi="宋体" w:hint="eastAsia"/>
          <w:sz w:val="24"/>
        </w:rPr>
        <w:t>NB/T47018.6</w:t>
      </w:r>
      <w:r>
        <w:rPr>
          <w:rFonts w:hAnsi="宋体" w:hint="eastAsia"/>
          <w:sz w:val="24"/>
        </w:rPr>
        <w:t>～</w:t>
      </w:r>
      <w:r>
        <w:rPr>
          <w:rFonts w:hAnsi="宋体" w:hint="eastAsia"/>
          <w:sz w:val="24"/>
        </w:rPr>
        <w:t>8-2022</w:t>
      </w:r>
      <w:r>
        <w:rPr>
          <w:rFonts w:hAnsi="宋体" w:hint="eastAsia"/>
          <w:sz w:val="24"/>
        </w:rPr>
        <w:t>《承压设备用焊接材料订货技术条件》</w:t>
      </w:r>
    </w:p>
    <w:p w14:paraId="018E2CB7" w14:textId="77777777" w:rsidR="00FA5FC9" w:rsidRDefault="00000000">
      <w:pPr>
        <w:spacing w:line="360" w:lineRule="auto"/>
        <w:ind w:firstLineChars="200" w:firstLine="480"/>
        <w:rPr>
          <w:rFonts w:hAnsi="宋体" w:hint="eastAsia"/>
          <w:sz w:val="24"/>
        </w:rPr>
      </w:pPr>
      <w:r>
        <w:rPr>
          <w:rFonts w:hAnsi="宋体" w:hint="eastAsia"/>
          <w:sz w:val="24"/>
        </w:rPr>
        <w:t>NB/T47020</w:t>
      </w:r>
      <w:r>
        <w:rPr>
          <w:rFonts w:hAnsi="宋体" w:hint="eastAsia"/>
          <w:sz w:val="24"/>
        </w:rPr>
        <w:t>～</w:t>
      </w:r>
      <w:r>
        <w:rPr>
          <w:rFonts w:hAnsi="宋体" w:hint="eastAsia"/>
          <w:sz w:val="24"/>
        </w:rPr>
        <w:t>47027-2012</w:t>
      </w:r>
      <w:r>
        <w:rPr>
          <w:rFonts w:hAnsi="宋体" w:hint="eastAsia"/>
          <w:sz w:val="24"/>
        </w:rPr>
        <w:t>《压力容器法兰、垫片、紧固件</w:t>
      </w:r>
      <w:r>
        <w:rPr>
          <w:rFonts w:hAnsi="宋体" w:hint="eastAsia"/>
          <w:sz w:val="24"/>
        </w:rPr>
        <w:t>[</w:t>
      </w:r>
      <w:r>
        <w:rPr>
          <w:rFonts w:hAnsi="宋体" w:hint="eastAsia"/>
          <w:sz w:val="24"/>
        </w:rPr>
        <w:t>合订本</w:t>
      </w:r>
      <w:r>
        <w:rPr>
          <w:rFonts w:hAnsi="宋体" w:hint="eastAsia"/>
          <w:sz w:val="24"/>
        </w:rPr>
        <w:t>]</w:t>
      </w:r>
      <w:r>
        <w:rPr>
          <w:rFonts w:hAnsi="宋体" w:hint="eastAsia"/>
          <w:sz w:val="24"/>
        </w:rPr>
        <w:t>》</w:t>
      </w:r>
    </w:p>
    <w:p w14:paraId="46560853" w14:textId="77777777" w:rsidR="00FA5FC9" w:rsidRDefault="00000000">
      <w:pPr>
        <w:spacing w:line="360" w:lineRule="auto"/>
        <w:ind w:firstLineChars="200" w:firstLine="480"/>
        <w:rPr>
          <w:rFonts w:hAnsi="宋体" w:hint="eastAsia"/>
          <w:sz w:val="24"/>
        </w:rPr>
      </w:pPr>
      <w:r>
        <w:rPr>
          <w:rFonts w:hAnsi="宋体" w:hint="eastAsia"/>
          <w:sz w:val="24"/>
        </w:rPr>
        <w:t>NB/T47014-2023</w:t>
      </w:r>
      <w:r>
        <w:rPr>
          <w:rFonts w:hAnsi="宋体" w:hint="eastAsia"/>
          <w:sz w:val="24"/>
        </w:rPr>
        <w:t>《承压设备焊接工艺评定》</w:t>
      </w:r>
    </w:p>
    <w:p w14:paraId="6D8A398F" w14:textId="77777777" w:rsidR="00FA5FC9" w:rsidRDefault="00000000">
      <w:pPr>
        <w:spacing w:line="360" w:lineRule="auto"/>
        <w:ind w:firstLineChars="200" w:firstLine="480"/>
        <w:rPr>
          <w:rFonts w:hAnsi="宋体" w:hint="eastAsia"/>
          <w:sz w:val="24"/>
        </w:rPr>
      </w:pPr>
      <w:r>
        <w:rPr>
          <w:rFonts w:hAnsi="宋体" w:hint="eastAsia"/>
          <w:sz w:val="24"/>
        </w:rPr>
        <w:t>NB/T47015-2023</w:t>
      </w:r>
      <w:r>
        <w:rPr>
          <w:rFonts w:hAnsi="宋体" w:hint="eastAsia"/>
          <w:sz w:val="24"/>
        </w:rPr>
        <w:t>《压力容器焊接规程》</w:t>
      </w:r>
    </w:p>
    <w:p w14:paraId="6ACF0D58" w14:textId="77777777" w:rsidR="00FA5FC9" w:rsidRDefault="00000000">
      <w:pPr>
        <w:spacing w:line="360" w:lineRule="auto"/>
        <w:ind w:firstLineChars="200" w:firstLine="480"/>
        <w:rPr>
          <w:rFonts w:hAnsi="宋体" w:hint="eastAsia"/>
          <w:sz w:val="24"/>
        </w:rPr>
      </w:pPr>
      <w:r>
        <w:rPr>
          <w:rFonts w:hAnsi="宋体" w:hint="eastAsia"/>
          <w:sz w:val="24"/>
        </w:rPr>
        <w:t>NB/T47016-2023</w:t>
      </w:r>
      <w:r>
        <w:rPr>
          <w:rFonts w:hAnsi="宋体" w:hint="eastAsia"/>
          <w:sz w:val="24"/>
        </w:rPr>
        <w:t>《承压设备产品焊接试件的力学性能检验》</w:t>
      </w:r>
    </w:p>
    <w:p w14:paraId="243FE67A" w14:textId="77777777" w:rsidR="00FA5FC9" w:rsidRDefault="00000000">
      <w:pPr>
        <w:spacing w:line="360" w:lineRule="auto"/>
        <w:ind w:firstLineChars="200" w:firstLine="480"/>
        <w:rPr>
          <w:rFonts w:hAnsi="宋体" w:hint="eastAsia"/>
          <w:sz w:val="24"/>
        </w:rPr>
      </w:pPr>
      <w:r>
        <w:rPr>
          <w:rFonts w:hAnsi="宋体" w:hint="eastAsia"/>
          <w:sz w:val="24"/>
        </w:rPr>
        <w:t>NB/T47013.1</w:t>
      </w:r>
      <w:r>
        <w:rPr>
          <w:rFonts w:hAnsi="宋体" w:hint="eastAsia"/>
          <w:sz w:val="24"/>
        </w:rPr>
        <w:t>～</w:t>
      </w:r>
      <w:r>
        <w:rPr>
          <w:rFonts w:hAnsi="宋体" w:hint="eastAsia"/>
          <w:sz w:val="24"/>
        </w:rPr>
        <w:t xml:space="preserve">47013.13-2015  </w:t>
      </w:r>
      <w:r>
        <w:rPr>
          <w:rFonts w:hAnsi="宋体" w:hint="eastAsia"/>
          <w:sz w:val="24"/>
        </w:rPr>
        <w:t>《承压设备无损检测》</w:t>
      </w:r>
    </w:p>
    <w:p w14:paraId="42799363" w14:textId="77777777" w:rsidR="00FA5FC9" w:rsidRDefault="00000000">
      <w:pPr>
        <w:spacing w:line="360" w:lineRule="auto"/>
        <w:ind w:firstLineChars="200" w:firstLine="480"/>
        <w:rPr>
          <w:rFonts w:hAnsi="宋体" w:hint="eastAsia"/>
          <w:sz w:val="24"/>
        </w:rPr>
      </w:pPr>
      <w:r>
        <w:rPr>
          <w:rFonts w:hAnsi="宋体" w:hint="eastAsia"/>
          <w:sz w:val="24"/>
        </w:rPr>
        <w:t>GB/T9019-2015</w:t>
      </w:r>
      <w:r>
        <w:rPr>
          <w:rFonts w:hAnsi="宋体" w:hint="eastAsia"/>
          <w:sz w:val="24"/>
        </w:rPr>
        <w:t>《压力容器公称直径》</w:t>
      </w:r>
    </w:p>
    <w:p w14:paraId="4D18183A" w14:textId="77777777" w:rsidR="00FA5FC9" w:rsidRDefault="00000000">
      <w:pPr>
        <w:spacing w:line="360" w:lineRule="auto"/>
        <w:ind w:firstLineChars="200" w:firstLine="480"/>
        <w:rPr>
          <w:rFonts w:hAnsi="宋体" w:hint="eastAsia"/>
          <w:sz w:val="24"/>
        </w:rPr>
      </w:pPr>
      <w:r>
        <w:rPr>
          <w:rFonts w:hAnsi="宋体" w:hint="eastAsia"/>
          <w:sz w:val="24"/>
        </w:rPr>
        <w:t>NB/T47065-2018</w:t>
      </w:r>
      <w:r>
        <w:rPr>
          <w:rFonts w:hAnsi="宋体" w:hint="eastAsia"/>
          <w:sz w:val="24"/>
        </w:rPr>
        <w:t>《容器支座》</w:t>
      </w:r>
    </w:p>
    <w:p w14:paraId="30664C0D" w14:textId="77777777" w:rsidR="00FA5FC9" w:rsidRDefault="00000000">
      <w:pPr>
        <w:spacing w:line="360" w:lineRule="auto"/>
        <w:ind w:firstLineChars="200" w:firstLine="480"/>
        <w:rPr>
          <w:rFonts w:hAnsi="宋体" w:hint="eastAsia"/>
          <w:sz w:val="24"/>
        </w:rPr>
      </w:pPr>
      <w:r>
        <w:rPr>
          <w:rFonts w:hAnsi="宋体" w:hint="eastAsia"/>
          <w:sz w:val="24"/>
        </w:rPr>
        <w:t>NB/T11025-2022</w:t>
      </w:r>
      <w:r>
        <w:rPr>
          <w:rFonts w:hAnsi="宋体" w:hint="eastAsia"/>
          <w:sz w:val="24"/>
        </w:rPr>
        <w:t>《补强圈》</w:t>
      </w:r>
    </w:p>
    <w:p w14:paraId="5F806689" w14:textId="77777777" w:rsidR="00FA5FC9" w:rsidRDefault="00000000">
      <w:pPr>
        <w:spacing w:line="360" w:lineRule="auto"/>
        <w:ind w:firstLineChars="200" w:firstLine="480"/>
        <w:rPr>
          <w:rFonts w:hAnsi="宋体" w:hint="eastAsia"/>
          <w:sz w:val="24"/>
        </w:rPr>
      </w:pPr>
      <w:r>
        <w:rPr>
          <w:rFonts w:hAnsi="宋体" w:hint="eastAsia"/>
          <w:sz w:val="24"/>
        </w:rPr>
        <w:t>GB/T25198-2023</w:t>
      </w:r>
      <w:r>
        <w:rPr>
          <w:rFonts w:hAnsi="宋体" w:hint="eastAsia"/>
          <w:sz w:val="24"/>
        </w:rPr>
        <w:t>《压力容器封头》</w:t>
      </w:r>
    </w:p>
    <w:p w14:paraId="5BEA917A" w14:textId="4336E54D" w:rsidR="00FA5FC9" w:rsidRDefault="00000000">
      <w:pPr>
        <w:spacing w:line="360" w:lineRule="auto"/>
        <w:ind w:firstLineChars="200" w:firstLine="480"/>
        <w:rPr>
          <w:rFonts w:hAnsi="宋体" w:hint="eastAsia"/>
          <w:sz w:val="24"/>
        </w:rPr>
      </w:pPr>
      <w:r>
        <w:rPr>
          <w:rFonts w:hAnsi="宋体" w:hint="eastAsia"/>
          <w:sz w:val="24"/>
        </w:rPr>
        <w:lastRenderedPageBreak/>
        <w:t>NB/T10558-2021</w:t>
      </w:r>
      <w:r>
        <w:rPr>
          <w:rFonts w:hAnsi="宋体" w:hint="eastAsia"/>
          <w:sz w:val="24"/>
        </w:rPr>
        <w:t>《压力容器涂敷与运输包装》</w:t>
      </w:r>
    </w:p>
    <w:p w14:paraId="50DBCAE3" w14:textId="2C078C59" w:rsidR="00FA5FC9" w:rsidRDefault="00000000">
      <w:pPr>
        <w:spacing w:line="360" w:lineRule="auto"/>
        <w:ind w:firstLineChars="200" w:firstLine="480"/>
        <w:rPr>
          <w:rFonts w:hAnsi="宋体" w:hint="eastAsia"/>
          <w:sz w:val="24"/>
        </w:rPr>
      </w:pPr>
      <w:r>
        <w:rPr>
          <w:rFonts w:hAnsi="宋体" w:hint="eastAsia"/>
          <w:sz w:val="24"/>
        </w:rPr>
        <w:t>GB/T13306-2011</w:t>
      </w:r>
      <w:r>
        <w:rPr>
          <w:rFonts w:hAnsi="宋体" w:hint="eastAsia"/>
          <w:sz w:val="24"/>
        </w:rPr>
        <w:t>《标牌》</w:t>
      </w:r>
    </w:p>
    <w:p w14:paraId="1B0350F1" w14:textId="77777777" w:rsidR="00FA5FC9" w:rsidRDefault="00000000">
      <w:pPr>
        <w:spacing w:line="360" w:lineRule="auto"/>
        <w:rPr>
          <w:rFonts w:hAnsi="宋体" w:hint="eastAsia"/>
          <w:sz w:val="24"/>
        </w:rPr>
      </w:pPr>
      <w:r>
        <w:rPr>
          <w:rFonts w:hAnsi="宋体" w:hint="eastAsia"/>
          <w:sz w:val="24"/>
        </w:rPr>
        <w:t>B/T 47018.1</w:t>
      </w:r>
      <w:r>
        <w:rPr>
          <w:rFonts w:hAnsi="宋体" w:hint="eastAsia"/>
          <w:sz w:val="24"/>
        </w:rPr>
        <w:t>～</w:t>
      </w:r>
      <w:r>
        <w:rPr>
          <w:rFonts w:hAnsi="宋体" w:hint="eastAsia"/>
          <w:sz w:val="24"/>
        </w:rPr>
        <w:t>47018.8</w:t>
      </w:r>
      <w:r>
        <w:rPr>
          <w:rFonts w:hAnsi="宋体" w:hint="eastAsia"/>
          <w:sz w:val="24"/>
        </w:rPr>
        <w:t>《承压设备用焊接材料订货技术条件》</w:t>
      </w:r>
    </w:p>
    <w:p w14:paraId="6944E54C" w14:textId="77777777" w:rsidR="00FA5FC9" w:rsidRDefault="00000000">
      <w:pPr>
        <w:spacing w:line="360" w:lineRule="auto"/>
        <w:rPr>
          <w:rFonts w:hAnsi="宋体" w:hint="eastAsia"/>
          <w:sz w:val="24"/>
        </w:rPr>
      </w:pPr>
      <w:r>
        <w:rPr>
          <w:rFonts w:hAnsi="宋体" w:hint="eastAsia"/>
          <w:sz w:val="24"/>
        </w:rPr>
        <w:t xml:space="preserve">3.4 </w:t>
      </w:r>
      <w:r>
        <w:rPr>
          <w:rFonts w:hAnsi="宋体" w:hint="eastAsia"/>
          <w:sz w:val="24"/>
        </w:rPr>
        <w:t>蒸汽导热油换热器技术要求</w:t>
      </w:r>
    </w:p>
    <w:p w14:paraId="131D73D9" w14:textId="77777777" w:rsidR="00FA5FC9" w:rsidRPr="001606EB" w:rsidRDefault="00000000">
      <w:pPr>
        <w:spacing w:line="360" w:lineRule="auto"/>
        <w:rPr>
          <w:sz w:val="24"/>
        </w:rPr>
      </w:pPr>
      <w:r w:rsidRPr="001606EB">
        <w:rPr>
          <w:rFonts w:hint="eastAsia"/>
          <w:sz w:val="24"/>
        </w:rPr>
        <w:t>3.4.1</w:t>
      </w:r>
      <w:r w:rsidRPr="001606EB">
        <w:rPr>
          <w:rFonts w:hint="eastAsia"/>
          <w:sz w:val="24"/>
        </w:rPr>
        <w:t>结构型式</w:t>
      </w:r>
    </w:p>
    <w:p w14:paraId="6BF1FA23" w14:textId="389FEFD9" w:rsidR="00FA5FC9" w:rsidRPr="001606EB" w:rsidRDefault="00000000" w:rsidP="00DF443C">
      <w:pPr>
        <w:spacing w:line="360" w:lineRule="auto"/>
        <w:ind w:firstLineChars="200" w:firstLine="480"/>
        <w:rPr>
          <w:rFonts w:hAnsi="宋体" w:hint="eastAsia"/>
          <w:sz w:val="24"/>
        </w:rPr>
      </w:pPr>
      <w:r w:rsidRPr="001606EB">
        <w:rPr>
          <w:rFonts w:hAnsi="宋体" w:hint="eastAsia"/>
          <w:sz w:val="24"/>
        </w:rPr>
        <w:t>型式：</w:t>
      </w:r>
      <w:r w:rsidRPr="001606EB">
        <w:rPr>
          <w:rFonts w:hAnsi="宋体" w:hint="eastAsia"/>
          <w:sz w:val="24"/>
        </w:rPr>
        <w:t>U</w:t>
      </w:r>
      <w:r w:rsidRPr="001606EB">
        <w:rPr>
          <w:rFonts w:hAnsi="宋体" w:hint="eastAsia"/>
          <w:sz w:val="24"/>
        </w:rPr>
        <w:t>形管式（</w:t>
      </w:r>
      <w:r w:rsidRPr="001606EB">
        <w:rPr>
          <w:rFonts w:hAnsi="宋体" w:hint="eastAsia"/>
          <w:sz w:val="24"/>
        </w:rPr>
        <w:t>BFU</w:t>
      </w:r>
      <w:r w:rsidRPr="001606EB">
        <w:rPr>
          <w:rFonts w:hAnsi="宋体" w:hint="eastAsia"/>
          <w:sz w:val="24"/>
        </w:rPr>
        <w:t>）</w:t>
      </w:r>
    </w:p>
    <w:p w14:paraId="3D15F44C" w14:textId="45BA42FA" w:rsidR="00FA5FC9" w:rsidRPr="001606EB" w:rsidRDefault="00000000" w:rsidP="00DF443C">
      <w:pPr>
        <w:spacing w:line="360" w:lineRule="auto"/>
        <w:ind w:firstLineChars="200" w:firstLine="480"/>
        <w:rPr>
          <w:rFonts w:hAnsi="宋体" w:hint="eastAsia"/>
          <w:sz w:val="24"/>
        </w:rPr>
      </w:pPr>
      <w:r w:rsidRPr="001606EB">
        <w:rPr>
          <w:rFonts w:hAnsi="宋体" w:hint="eastAsia"/>
          <w:sz w:val="24"/>
        </w:rPr>
        <w:t>安装型式：卧式，鞍式支座</w:t>
      </w:r>
    </w:p>
    <w:p w14:paraId="0E49CA86" w14:textId="77777777" w:rsidR="00FA5FC9" w:rsidRPr="001606EB" w:rsidRDefault="00000000">
      <w:pPr>
        <w:spacing w:line="360" w:lineRule="auto"/>
        <w:rPr>
          <w:sz w:val="24"/>
        </w:rPr>
      </w:pPr>
      <w:r w:rsidRPr="001606EB">
        <w:rPr>
          <w:rFonts w:hint="eastAsia"/>
          <w:sz w:val="24"/>
        </w:rPr>
        <w:t>3.4.2</w:t>
      </w:r>
      <w:r w:rsidRPr="001606EB">
        <w:rPr>
          <w:rFonts w:hint="eastAsia"/>
          <w:sz w:val="24"/>
        </w:rPr>
        <w:t>设计参数</w:t>
      </w:r>
    </w:p>
    <w:p w14:paraId="3FEB3206" w14:textId="2084D514" w:rsidR="00FA5FC9" w:rsidRPr="001606EB" w:rsidRDefault="00000000" w:rsidP="00DF443C">
      <w:pPr>
        <w:spacing w:line="360" w:lineRule="auto"/>
        <w:ind w:firstLineChars="200" w:firstLine="480"/>
        <w:rPr>
          <w:rFonts w:hAnsi="宋体" w:hint="eastAsia"/>
          <w:sz w:val="24"/>
        </w:rPr>
      </w:pPr>
      <w:r w:rsidRPr="00DF443C">
        <w:rPr>
          <w:rFonts w:hAnsi="宋体" w:hint="eastAsia"/>
          <w:sz w:val="24"/>
        </w:rPr>
        <w:t>管程：设计</w:t>
      </w:r>
      <w:r w:rsidRPr="001606EB">
        <w:rPr>
          <w:rFonts w:hAnsi="宋体" w:hint="eastAsia"/>
          <w:sz w:val="24"/>
        </w:rPr>
        <w:t>压力</w:t>
      </w:r>
      <w:r w:rsidRPr="001606EB">
        <w:rPr>
          <w:rFonts w:hAnsi="宋体" w:hint="eastAsia"/>
          <w:sz w:val="24"/>
        </w:rPr>
        <w:t>2.5 MPa</w:t>
      </w:r>
      <w:r w:rsidRPr="001606EB">
        <w:rPr>
          <w:rFonts w:hAnsi="宋体" w:hint="eastAsia"/>
          <w:sz w:val="24"/>
        </w:rPr>
        <w:t>，设计温度</w:t>
      </w:r>
      <w:r w:rsidRPr="001606EB">
        <w:rPr>
          <w:rFonts w:hAnsi="宋体" w:hint="eastAsia"/>
          <w:sz w:val="24"/>
        </w:rPr>
        <w:t>300</w:t>
      </w:r>
      <w:r w:rsidRPr="001606EB">
        <w:rPr>
          <w:rFonts w:hAnsi="宋体" w:hint="eastAsia"/>
          <w:sz w:val="24"/>
        </w:rPr>
        <w:t>℃，介质导热油</w:t>
      </w:r>
    </w:p>
    <w:p w14:paraId="3CEAE4A0" w14:textId="27DD8993" w:rsidR="00FA5FC9" w:rsidRPr="001606EB" w:rsidRDefault="00000000" w:rsidP="00DF443C">
      <w:pPr>
        <w:spacing w:line="360" w:lineRule="auto"/>
        <w:ind w:firstLineChars="200" w:firstLine="480"/>
        <w:rPr>
          <w:rFonts w:hAnsi="宋体" w:hint="eastAsia"/>
          <w:sz w:val="24"/>
        </w:rPr>
      </w:pPr>
      <w:r w:rsidRPr="001606EB">
        <w:rPr>
          <w:rFonts w:hAnsi="宋体" w:hint="eastAsia"/>
          <w:sz w:val="24"/>
        </w:rPr>
        <w:t>壳程：设计压力</w:t>
      </w:r>
      <w:r w:rsidRPr="001606EB">
        <w:rPr>
          <w:rFonts w:hAnsi="宋体" w:hint="eastAsia"/>
          <w:sz w:val="24"/>
        </w:rPr>
        <w:t>3.8MPa</w:t>
      </w:r>
      <w:r w:rsidRPr="001606EB">
        <w:rPr>
          <w:rFonts w:hAnsi="宋体" w:hint="eastAsia"/>
          <w:sz w:val="24"/>
        </w:rPr>
        <w:t>，设计温度</w:t>
      </w:r>
      <w:r w:rsidRPr="001606EB">
        <w:rPr>
          <w:rFonts w:hAnsi="宋体" w:hint="eastAsia"/>
          <w:sz w:val="24"/>
        </w:rPr>
        <w:t>4</w:t>
      </w:r>
      <w:r w:rsidR="006E0263" w:rsidRPr="001606EB">
        <w:rPr>
          <w:rFonts w:hAnsi="宋体" w:hint="eastAsia"/>
          <w:sz w:val="24"/>
        </w:rPr>
        <w:t>3</w:t>
      </w:r>
      <w:r w:rsidRPr="001606EB">
        <w:rPr>
          <w:rFonts w:hAnsi="宋体" w:hint="eastAsia"/>
          <w:sz w:val="24"/>
        </w:rPr>
        <w:t>0</w:t>
      </w:r>
      <w:r w:rsidRPr="001606EB">
        <w:rPr>
          <w:rFonts w:hAnsi="宋体" w:hint="eastAsia"/>
          <w:sz w:val="24"/>
        </w:rPr>
        <w:t>℃，介质蒸汽</w:t>
      </w:r>
    </w:p>
    <w:p w14:paraId="1A519CCD" w14:textId="54F0F018" w:rsidR="00FA5FC9" w:rsidRPr="001606EB" w:rsidRDefault="00000000" w:rsidP="00DF443C">
      <w:pPr>
        <w:spacing w:line="360" w:lineRule="auto"/>
        <w:ind w:firstLineChars="200" w:firstLine="480"/>
        <w:rPr>
          <w:rFonts w:hAnsi="宋体" w:hint="eastAsia"/>
          <w:sz w:val="24"/>
        </w:rPr>
      </w:pPr>
      <w:r w:rsidRPr="001606EB">
        <w:rPr>
          <w:rFonts w:hAnsi="宋体" w:hint="eastAsia"/>
          <w:sz w:val="24"/>
        </w:rPr>
        <w:t>换热面积：≥</w:t>
      </w:r>
      <w:r w:rsidRPr="001606EB">
        <w:rPr>
          <w:rFonts w:hAnsi="宋体" w:hint="eastAsia"/>
          <w:sz w:val="24"/>
        </w:rPr>
        <w:t>195 m</w:t>
      </w:r>
      <w:r w:rsidRPr="001606EB">
        <w:rPr>
          <w:rFonts w:hAnsi="宋体" w:hint="eastAsia"/>
          <w:sz w:val="24"/>
        </w:rPr>
        <w:t>²</w:t>
      </w:r>
    </w:p>
    <w:p w14:paraId="47F933AC" w14:textId="5F372E3C" w:rsidR="00FA5FC9" w:rsidRPr="001606EB" w:rsidRDefault="00000000" w:rsidP="00DF443C">
      <w:pPr>
        <w:spacing w:line="360" w:lineRule="auto"/>
        <w:ind w:firstLineChars="200" w:firstLine="480"/>
        <w:rPr>
          <w:rFonts w:hAnsi="宋体" w:hint="eastAsia"/>
          <w:sz w:val="24"/>
        </w:rPr>
      </w:pPr>
      <w:r w:rsidRPr="001606EB">
        <w:rPr>
          <w:rFonts w:hAnsi="宋体" w:hint="eastAsia"/>
          <w:sz w:val="24"/>
        </w:rPr>
        <w:t>腐蚀裕量：管程</w:t>
      </w:r>
      <w:r w:rsidRPr="001606EB">
        <w:rPr>
          <w:rFonts w:hAnsi="宋体" w:hint="eastAsia"/>
          <w:sz w:val="24"/>
        </w:rPr>
        <w:t>2.0mm</w:t>
      </w:r>
      <w:r w:rsidRPr="001606EB">
        <w:rPr>
          <w:rFonts w:hAnsi="宋体" w:hint="eastAsia"/>
          <w:sz w:val="24"/>
        </w:rPr>
        <w:t>，壳程</w:t>
      </w:r>
      <w:r w:rsidRPr="001606EB">
        <w:rPr>
          <w:rFonts w:hAnsi="宋体" w:hint="eastAsia"/>
          <w:sz w:val="24"/>
        </w:rPr>
        <w:t>2.0 mm</w:t>
      </w:r>
    </w:p>
    <w:p w14:paraId="3E402719" w14:textId="77777777" w:rsidR="00FA5FC9" w:rsidRPr="001606EB" w:rsidRDefault="00000000">
      <w:pPr>
        <w:spacing w:line="360" w:lineRule="auto"/>
        <w:rPr>
          <w:rFonts w:hAnsi="宋体" w:hint="eastAsia"/>
          <w:sz w:val="24"/>
        </w:rPr>
      </w:pPr>
      <w:r w:rsidRPr="001606EB">
        <w:rPr>
          <w:rFonts w:hAnsi="宋体" w:hint="eastAsia"/>
          <w:sz w:val="24"/>
        </w:rPr>
        <w:t>3.4.3</w:t>
      </w:r>
      <w:r w:rsidRPr="001606EB">
        <w:rPr>
          <w:rFonts w:hAnsi="宋体" w:hint="eastAsia"/>
          <w:sz w:val="24"/>
        </w:rPr>
        <w:t>材质要求</w:t>
      </w:r>
    </w:p>
    <w:p w14:paraId="3E28CD36" w14:textId="1150D162" w:rsidR="00FA5FC9" w:rsidRPr="001606EB" w:rsidRDefault="00000000" w:rsidP="00DF443C">
      <w:pPr>
        <w:spacing w:line="360" w:lineRule="auto"/>
        <w:ind w:firstLineChars="200" w:firstLine="480"/>
        <w:rPr>
          <w:rFonts w:hAnsi="宋体" w:hint="eastAsia"/>
          <w:sz w:val="24"/>
        </w:rPr>
      </w:pPr>
      <w:r w:rsidRPr="001606EB">
        <w:rPr>
          <w:rFonts w:hAnsi="宋体" w:hint="eastAsia"/>
          <w:sz w:val="24"/>
        </w:rPr>
        <w:t>壳体：</w:t>
      </w:r>
      <w:r w:rsidR="006E0263" w:rsidRPr="001606EB">
        <w:rPr>
          <w:rFonts w:hAnsi="宋体"/>
          <w:sz w:val="24"/>
        </w:rPr>
        <w:t>Q345R</w:t>
      </w:r>
    </w:p>
    <w:p w14:paraId="3E55765F" w14:textId="33D20059" w:rsidR="00FA5FC9" w:rsidRPr="001606EB" w:rsidRDefault="00000000" w:rsidP="00DF443C">
      <w:pPr>
        <w:spacing w:line="360" w:lineRule="auto"/>
        <w:ind w:firstLineChars="200" w:firstLine="480"/>
        <w:rPr>
          <w:rFonts w:hAnsi="宋体" w:hint="eastAsia"/>
          <w:sz w:val="24"/>
        </w:rPr>
      </w:pPr>
      <w:r w:rsidRPr="001606EB">
        <w:rPr>
          <w:rFonts w:hAnsi="宋体" w:hint="eastAsia"/>
          <w:sz w:val="24"/>
        </w:rPr>
        <w:t>换热管：</w:t>
      </w:r>
      <w:r w:rsidR="006E0263" w:rsidRPr="001606EB">
        <w:rPr>
          <w:rFonts w:hAnsi="宋体"/>
          <w:sz w:val="24"/>
        </w:rPr>
        <w:t>15CrMoG</w:t>
      </w:r>
    </w:p>
    <w:p w14:paraId="6FAAE79C" w14:textId="39B32457" w:rsidR="00FA5FC9" w:rsidRPr="001606EB" w:rsidRDefault="00000000" w:rsidP="00DF443C">
      <w:pPr>
        <w:spacing w:line="360" w:lineRule="auto"/>
        <w:ind w:firstLineChars="200" w:firstLine="480"/>
        <w:rPr>
          <w:rFonts w:hAnsi="宋体" w:hint="eastAsia"/>
          <w:sz w:val="24"/>
        </w:rPr>
      </w:pPr>
      <w:r w:rsidRPr="001606EB">
        <w:rPr>
          <w:rFonts w:hAnsi="宋体" w:hint="eastAsia"/>
          <w:sz w:val="24"/>
        </w:rPr>
        <w:t>管板：</w:t>
      </w:r>
      <w:r w:rsidR="006E0263" w:rsidRPr="001606EB">
        <w:rPr>
          <w:rFonts w:hAnsi="宋体"/>
          <w:sz w:val="24"/>
        </w:rPr>
        <w:t>15CrMoG</w:t>
      </w:r>
    </w:p>
    <w:p w14:paraId="0A84485B" w14:textId="775B9533" w:rsidR="00FA5FC9" w:rsidRPr="001606EB" w:rsidRDefault="00000000" w:rsidP="00DF443C">
      <w:pPr>
        <w:spacing w:line="360" w:lineRule="auto"/>
        <w:ind w:firstLineChars="200" w:firstLine="480"/>
        <w:rPr>
          <w:rFonts w:hAnsi="宋体" w:hint="eastAsia"/>
          <w:sz w:val="24"/>
        </w:rPr>
      </w:pPr>
      <w:r w:rsidRPr="001606EB">
        <w:rPr>
          <w:rFonts w:hAnsi="宋体" w:hint="eastAsia"/>
          <w:sz w:val="24"/>
        </w:rPr>
        <w:t>法兰：</w:t>
      </w:r>
      <w:r w:rsidR="000B4161" w:rsidRPr="000B4161">
        <w:rPr>
          <w:rFonts w:hAnsi="宋体"/>
          <w:sz w:val="24"/>
        </w:rPr>
        <w:t>16MnIII</w:t>
      </w:r>
    </w:p>
    <w:p w14:paraId="0FD88821" w14:textId="77777777" w:rsidR="00FA5FC9" w:rsidRPr="001606EB" w:rsidRDefault="00000000">
      <w:pPr>
        <w:spacing w:line="360" w:lineRule="auto"/>
        <w:rPr>
          <w:rFonts w:hAnsi="宋体" w:hint="eastAsia"/>
          <w:sz w:val="24"/>
        </w:rPr>
      </w:pPr>
      <w:r w:rsidRPr="001606EB">
        <w:rPr>
          <w:rFonts w:hAnsi="宋体" w:hint="eastAsia"/>
          <w:sz w:val="24"/>
        </w:rPr>
        <w:t>3.4.1</w:t>
      </w:r>
      <w:r w:rsidRPr="001606EB">
        <w:rPr>
          <w:rFonts w:hAnsi="宋体" w:hint="eastAsia"/>
          <w:sz w:val="24"/>
        </w:rPr>
        <w:t>制造检验</w:t>
      </w:r>
    </w:p>
    <w:p w14:paraId="00EB0EE4" w14:textId="40921391" w:rsidR="00FA5FC9" w:rsidRPr="001606EB" w:rsidRDefault="00000000" w:rsidP="00DF443C">
      <w:pPr>
        <w:spacing w:line="360" w:lineRule="auto"/>
        <w:ind w:firstLineChars="200" w:firstLine="480"/>
        <w:rPr>
          <w:rFonts w:hAnsi="宋体" w:hint="eastAsia"/>
          <w:sz w:val="24"/>
        </w:rPr>
      </w:pPr>
      <w:r w:rsidRPr="001606EB">
        <w:rPr>
          <w:rFonts w:hAnsi="宋体" w:hint="eastAsia"/>
          <w:sz w:val="24"/>
        </w:rPr>
        <w:t>管子与管板连接：强度焊</w:t>
      </w:r>
      <w:r w:rsidRPr="001606EB">
        <w:rPr>
          <w:rFonts w:hAnsi="宋体" w:hint="eastAsia"/>
          <w:sz w:val="24"/>
        </w:rPr>
        <w:t>+</w:t>
      </w:r>
      <w:r w:rsidRPr="001606EB">
        <w:rPr>
          <w:rFonts w:hAnsi="宋体" w:hint="eastAsia"/>
          <w:sz w:val="24"/>
        </w:rPr>
        <w:t>贴胀</w:t>
      </w:r>
    </w:p>
    <w:p w14:paraId="54A6FD72" w14:textId="34656BD1" w:rsidR="00FA5FC9" w:rsidRPr="001606EB" w:rsidRDefault="00000000" w:rsidP="00DF443C">
      <w:pPr>
        <w:spacing w:line="360" w:lineRule="auto"/>
        <w:ind w:firstLineChars="200" w:firstLine="480"/>
        <w:rPr>
          <w:rFonts w:hAnsi="宋体" w:hint="eastAsia"/>
          <w:sz w:val="24"/>
        </w:rPr>
      </w:pPr>
      <w:r w:rsidRPr="001606EB">
        <w:rPr>
          <w:rFonts w:hAnsi="宋体" w:hint="eastAsia"/>
          <w:sz w:val="24"/>
        </w:rPr>
        <w:t>无损检测：</w:t>
      </w:r>
      <w:r w:rsidRPr="001606EB">
        <w:rPr>
          <w:rFonts w:hAnsi="宋体" w:hint="eastAsia"/>
          <w:sz w:val="24"/>
        </w:rPr>
        <w:t>A/B</w:t>
      </w:r>
      <w:r w:rsidRPr="001606EB">
        <w:rPr>
          <w:rFonts w:hAnsi="宋体" w:hint="eastAsia"/>
          <w:sz w:val="24"/>
        </w:rPr>
        <w:t>类焊缝</w:t>
      </w:r>
      <w:r w:rsidR="009D0407">
        <w:rPr>
          <w:rFonts w:hAnsi="宋体" w:hint="eastAsia"/>
          <w:sz w:val="24"/>
        </w:rPr>
        <w:t>10</w:t>
      </w:r>
      <w:r w:rsidRPr="001606EB">
        <w:rPr>
          <w:rFonts w:hAnsi="宋体" w:hint="eastAsia"/>
          <w:sz w:val="24"/>
        </w:rPr>
        <w:t>0% RT</w:t>
      </w:r>
    </w:p>
    <w:p w14:paraId="2555D63C" w14:textId="24AF69A9" w:rsidR="00FA5FC9" w:rsidRPr="001606EB" w:rsidRDefault="00000000" w:rsidP="00DF443C">
      <w:pPr>
        <w:spacing w:line="360" w:lineRule="auto"/>
        <w:ind w:firstLineChars="200" w:firstLine="480"/>
        <w:rPr>
          <w:rFonts w:hAnsi="宋体" w:hint="eastAsia"/>
          <w:sz w:val="24"/>
        </w:rPr>
      </w:pPr>
      <w:r w:rsidRPr="001606EB">
        <w:rPr>
          <w:rFonts w:hAnsi="宋体" w:hint="eastAsia"/>
          <w:sz w:val="24"/>
        </w:rPr>
        <w:t>压力试验：液压试验</w:t>
      </w:r>
      <w:r w:rsidRPr="001606EB">
        <w:rPr>
          <w:rFonts w:hAnsi="宋体" w:hint="eastAsia"/>
          <w:sz w:val="24"/>
        </w:rPr>
        <w:t>+</w:t>
      </w:r>
      <w:r w:rsidRPr="001606EB">
        <w:rPr>
          <w:rFonts w:hAnsi="宋体" w:hint="eastAsia"/>
          <w:sz w:val="24"/>
        </w:rPr>
        <w:t>气密性试验</w:t>
      </w:r>
    </w:p>
    <w:p w14:paraId="6908763D" w14:textId="77777777" w:rsidR="00FA5FC9" w:rsidRPr="001606EB" w:rsidRDefault="00000000">
      <w:pPr>
        <w:spacing w:line="360" w:lineRule="auto"/>
        <w:rPr>
          <w:rFonts w:hAnsi="宋体" w:hint="eastAsia"/>
          <w:sz w:val="24"/>
        </w:rPr>
      </w:pPr>
      <w:r w:rsidRPr="001606EB">
        <w:rPr>
          <w:rFonts w:hAnsi="宋体" w:hint="eastAsia"/>
          <w:sz w:val="24"/>
        </w:rPr>
        <w:t>3.5</w:t>
      </w:r>
      <w:r w:rsidRPr="001606EB">
        <w:rPr>
          <w:rFonts w:hAnsi="宋体" w:hint="eastAsia"/>
          <w:sz w:val="24"/>
        </w:rPr>
        <w:t>其他说明</w:t>
      </w:r>
    </w:p>
    <w:p w14:paraId="04ACF614" w14:textId="77777777" w:rsidR="00FA5FC9" w:rsidRPr="001606EB" w:rsidRDefault="00000000">
      <w:pPr>
        <w:spacing w:line="360" w:lineRule="auto"/>
        <w:rPr>
          <w:rFonts w:hAnsi="宋体" w:hint="eastAsia"/>
          <w:sz w:val="24"/>
        </w:rPr>
      </w:pPr>
      <w:r w:rsidRPr="001606EB">
        <w:rPr>
          <w:rFonts w:hAnsi="宋体" w:hint="eastAsia"/>
          <w:sz w:val="24"/>
        </w:rPr>
        <w:t>3.5.1.</w:t>
      </w:r>
      <w:r w:rsidRPr="001606EB">
        <w:rPr>
          <w:rFonts w:hAnsi="宋体" w:hint="eastAsia"/>
          <w:sz w:val="24"/>
        </w:rPr>
        <w:t>本规范书内所有部件涉及到的有关标准及规范均应采用有效版本</w:t>
      </w:r>
    </w:p>
    <w:p w14:paraId="7A6910AA" w14:textId="77777777" w:rsidR="00FA5FC9" w:rsidRDefault="00000000">
      <w:pPr>
        <w:spacing w:line="360" w:lineRule="auto"/>
        <w:rPr>
          <w:rFonts w:hAnsi="宋体" w:hint="eastAsia"/>
          <w:sz w:val="24"/>
        </w:rPr>
      </w:pPr>
      <w:r w:rsidRPr="001606EB">
        <w:rPr>
          <w:rFonts w:hAnsi="宋体" w:hint="eastAsia"/>
          <w:sz w:val="24"/>
        </w:rPr>
        <w:t>3.5.2</w:t>
      </w:r>
      <w:r w:rsidRPr="001606EB">
        <w:rPr>
          <w:rFonts w:hAnsi="宋体" w:hint="eastAsia"/>
          <w:sz w:val="24"/>
        </w:rPr>
        <w:t>上述标准和规程仅提出了基本要求的技术要求，如果投标方提出了更经济</w:t>
      </w:r>
      <w:r>
        <w:rPr>
          <w:rFonts w:hAnsi="宋体" w:hint="eastAsia"/>
          <w:sz w:val="24"/>
        </w:rPr>
        <w:t>合理的设计、材料制造工艺等，同时又能使投标方提供的设备达到本规范书之要求，并确保安全持续运行，在征得招标方同意后，可执行投标方提供的标准。</w:t>
      </w:r>
    </w:p>
    <w:p w14:paraId="2BB13AD4" w14:textId="77777777" w:rsidR="00FA5FC9" w:rsidRDefault="00000000">
      <w:pPr>
        <w:spacing w:line="360" w:lineRule="auto"/>
        <w:rPr>
          <w:rFonts w:hAnsi="宋体" w:hint="eastAsia"/>
          <w:sz w:val="24"/>
        </w:rPr>
      </w:pPr>
      <w:r>
        <w:rPr>
          <w:rFonts w:hAnsi="宋体" w:hint="eastAsia"/>
          <w:sz w:val="24"/>
        </w:rPr>
        <w:t>3.7.3</w:t>
      </w:r>
      <w:r>
        <w:rPr>
          <w:rFonts w:hAnsi="宋体" w:hint="eastAsia"/>
          <w:sz w:val="24"/>
        </w:rPr>
        <w:t>从订货之日起至投标方开始投料制造之前这段时间，如因标准、规程发生修改或变化，招标方有权提山补充要求，投标方应满足并遵守这些要求。</w:t>
      </w:r>
    </w:p>
    <w:p w14:paraId="492A8E3D" w14:textId="77777777" w:rsidR="00FA5FC9" w:rsidRDefault="00000000">
      <w:pPr>
        <w:spacing w:line="360" w:lineRule="auto"/>
        <w:rPr>
          <w:rFonts w:hAnsi="宋体" w:hint="eastAsia"/>
          <w:sz w:val="24"/>
          <w:lang w:val="en-GB"/>
        </w:rPr>
      </w:pPr>
      <w:r>
        <w:rPr>
          <w:rFonts w:hAnsi="宋体" w:hint="eastAsia"/>
          <w:sz w:val="24"/>
          <w:lang w:val="en-GB"/>
        </w:rPr>
        <w:t>材质：</w:t>
      </w:r>
      <w:r>
        <w:rPr>
          <w:rFonts w:hAnsi="宋体" w:hint="eastAsia"/>
          <w:sz w:val="24"/>
        </w:rPr>
        <w:t>根据压力容器设计温度、压力、介质要求，选择适合压力容器的材料。</w:t>
      </w:r>
    </w:p>
    <w:p w14:paraId="009F8EFC" w14:textId="77777777" w:rsidR="00FA5FC9" w:rsidRDefault="00000000">
      <w:pPr>
        <w:pStyle w:val="1"/>
        <w:spacing w:beforeLines="50" w:before="156" w:afterLines="50" w:after="156" w:line="360" w:lineRule="auto"/>
        <w:ind w:left="369" w:hanging="369"/>
        <w:rPr>
          <w:rFonts w:ascii="Times New Roman" w:eastAsia="宋体" w:hAnsi="Times New Roman" w:cs="宋体"/>
          <w:b/>
          <w:color w:val="auto"/>
          <w:sz w:val="28"/>
          <w:szCs w:val="28"/>
        </w:rPr>
      </w:pPr>
      <w:bookmarkStart w:id="4" w:name="_Toc8183"/>
      <w:bookmarkStart w:id="5" w:name="_Toc516748338"/>
      <w:r>
        <w:rPr>
          <w:rFonts w:ascii="Times New Roman" w:eastAsia="宋体" w:hAnsi="Times New Roman" w:cs="宋体" w:hint="eastAsia"/>
          <w:b/>
          <w:color w:val="auto"/>
          <w:sz w:val="28"/>
          <w:szCs w:val="28"/>
        </w:rPr>
        <w:lastRenderedPageBreak/>
        <w:t>4.</w:t>
      </w:r>
      <w:r>
        <w:rPr>
          <w:rFonts w:ascii="Times New Roman" w:eastAsia="宋体" w:hAnsi="Times New Roman" w:cs="宋体" w:hint="eastAsia"/>
          <w:b/>
          <w:color w:val="auto"/>
          <w:sz w:val="28"/>
          <w:szCs w:val="28"/>
        </w:rPr>
        <w:t>供货范围与接口界面</w:t>
      </w:r>
      <w:bookmarkEnd w:id="4"/>
    </w:p>
    <w:bookmarkEnd w:id="5"/>
    <w:p w14:paraId="043CFE57" w14:textId="77777777" w:rsidR="00FA5FC9" w:rsidRDefault="00000000">
      <w:pPr>
        <w:spacing w:line="360" w:lineRule="auto"/>
        <w:rPr>
          <w:rFonts w:hAnsi="宋体" w:hint="eastAsia"/>
          <w:sz w:val="24"/>
        </w:rPr>
      </w:pPr>
      <w:r>
        <w:rPr>
          <w:rFonts w:hAnsi="宋体" w:hint="eastAsia"/>
          <w:sz w:val="24"/>
        </w:rPr>
        <w:t>4.1</w:t>
      </w:r>
      <w:r>
        <w:rPr>
          <w:rFonts w:hAnsi="宋体" w:hint="eastAsia"/>
          <w:sz w:val="24"/>
        </w:rPr>
        <w:t>本体及零部件</w:t>
      </w:r>
    </w:p>
    <w:p w14:paraId="32F60A34" w14:textId="77777777" w:rsidR="00FA5FC9" w:rsidRDefault="00000000">
      <w:pPr>
        <w:spacing w:line="360" w:lineRule="auto"/>
        <w:rPr>
          <w:rFonts w:hAnsi="宋体" w:hint="eastAsia"/>
          <w:sz w:val="24"/>
        </w:rPr>
      </w:pPr>
      <w:r>
        <w:rPr>
          <w:rFonts w:hAnsi="宋体" w:hint="eastAsia"/>
          <w:sz w:val="24"/>
        </w:rPr>
        <w:t>壳体与管箱：包括筒体、管箱、封头、管板等承压部件</w:t>
      </w:r>
    </w:p>
    <w:p w14:paraId="23F22D83" w14:textId="77777777" w:rsidR="00FA5FC9" w:rsidRDefault="00000000">
      <w:pPr>
        <w:spacing w:line="360" w:lineRule="auto"/>
        <w:rPr>
          <w:rFonts w:hAnsi="宋体" w:hint="eastAsia"/>
          <w:sz w:val="24"/>
        </w:rPr>
      </w:pPr>
      <w:r>
        <w:rPr>
          <w:rFonts w:hAnsi="宋体" w:hint="eastAsia"/>
          <w:sz w:val="24"/>
        </w:rPr>
        <w:t>换热元件：换热管（或板片）、折流板、支持板等</w:t>
      </w:r>
    </w:p>
    <w:p w14:paraId="1CC8D31F" w14:textId="77777777" w:rsidR="00FA5FC9" w:rsidRDefault="00000000">
      <w:pPr>
        <w:spacing w:line="360" w:lineRule="auto"/>
        <w:rPr>
          <w:rFonts w:hAnsi="宋体" w:hint="eastAsia"/>
          <w:sz w:val="24"/>
        </w:rPr>
      </w:pPr>
      <w:r>
        <w:rPr>
          <w:rFonts w:hAnsi="宋体" w:hint="eastAsia"/>
          <w:sz w:val="24"/>
        </w:rPr>
        <w:t>连接件与密封件：设备法兰、接管法兰、垫片、紧固件（螺柱、螺母）</w:t>
      </w:r>
    </w:p>
    <w:p w14:paraId="5F5803E5" w14:textId="77777777" w:rsidR="00FA5FC9" w:rsidRDefault="00000000">
      <w:pPr>
        <w:spacing w:line="360" w:lineRule="auto"/>
        <w:rPr>
          <w:rFonts w:hAnsi="宋体" w:hint="eastAsia"/>
          <w:sz w:val="24"/>
        </w:rPr>
      </w:pPr>
      <w:r>
        <w:rPr>
          <w:rFonts w:hAnsi="宋体" w:hint="eastAsia"/>
          <w:sz w:val="24"/>
        </w:rPr>
        <w:t>附件：支座、吊耳、铭牌、接地板等</w:t>
      </w:r>
    </w:p>
    <w:p w14:paraId="4E9A5027" w14:textId="77777777" w:rsidR="00FA5FC9" w:rsidRDefault="00000000">
      <w:pPr>
        <w:spacing w:line="360" w:lineRule="auto"/>
        <w:rPr>
          <w:rFonts w:hAnsi="宋体" w:hint="eastAsia"/>
          <w:sz w:val="24"/>
        </w:rPr>
      </w:pPr>
      <w:r>
        <w:rPr>
          <w:rFonts w:hAnsi="宋体" w:hint="eastAsia"/>
          <w:sz w:val="24"/>
        </w:rPr>
        <w:t>4.2</w:t>
      </w:r>
      <w:r>
        <w:rPr>
          <w:rFonts w:hAnsi="宋体" w:hint="eastAsia"/>
          <w:sz w:val="24"/>
        </w:rPr>
        <w:t>随机资料</w:t>
      </w:r>
    </w:p>
    <w:p w14:paraId="1101D62A" w14:textId="77777777" w:rsidR="00FA5FC9" w:rsidRDefault="00000000">
      <w:pPr>
        <w:spacing w:line="360" w:lineRule="auto"/>
        <w:rPr>
          <w:rFonts w:hAnsi="宋体" w:hint="eastAsia"/>
          <w:sz w:val="24"/>
        </w:rPr>
      </w:pPr>
      <w:r>
        <w:rPr>
          <w:rFonts w:hAnsi="宋体" w:hint="eastAsia"/>
          <w:sz w:val="24"/>
        </w:rPr>
        <w:t>产品质量证明文件</w:t>
      </w:r>
    </w:p>
    <w:p w14:paraId="0E81D59D" w14:textId="77777777" w:rsidR="00FA5FC9" w:rsidRDefault="00000000">
      <w:pPr>
        <w:spacing w:line="360" w:lineRule="auto"/>
        <w:rPr>
          <w:rFonts w:hAnsi="宋体" w:hint="eastAsia"/>
          <w:sz w:val="24"/>
        </w:rPr>
      </w:pPr>
      <w:r>
        <w:rPr>
          <w:rFonts w:hAnsi="宋体" w:hint="eastAsia"/>
          <w:sz w:val="24"/>
        </w:rPr>
        <w:t>图纸（含热力计算书和强度计算书）</w:t>
      </w:r>
    </w:p>
    <w:p w14:paraId="25EC9F09" w14:textId="77777777" w:rsidR="00FA5FC9" w:rsidRDefault="00000000">
      <w:pPr>
        <w:spacing w:line="360" w:lineRule="auto"/>
        <w:rPr>
          <w:rFonts w:hAnsi="宋体" w:hint="eastAsia"/>
          <w:sz w:val="24"/>
        </w:rPr>
      </w:pPr>
      <w:r>
        <w:rPr>
          <w:rFonts w:hAnsi="宋体" w:hint="eastAsia"/>
          <w:sz w:val="24"/>
        </w:rPr>
        <w:t>安装、操作、维护说明书</w:t>
      </w:r>
    </w:p>
    <w:p w14:paraId="019DDC30" w14:textId="77777777" w:rsidR="00FA5FC9" w:rsidRDefault="00000000">
      <w:pPr>
        <w:spacing w:line="360" w:lineRule="auto"/>
        <w:rPr>
          <w:rFonts w:hAnsi="宋体" w:hint="eastAsia"/>
          <w:sz w:val="24"/>
        </w:rPr>
      </w:pPr>
      <w:r>
        <w:rPr>
          <w:rFonts w:hAnsi="宋体" w:hint="eastAsia"/>
          <w:sz w:val="24"/>
        </w:rPr>
        <w:t>监检证书（由特检院出具）</w:t>
      </w:r>
    </w:p>
    <w:p w14:paraId="2014CE98" w14:textId="77777777" w:rsidR="00FA5FC9" w:rsidRDefault="00000000">
      <w:pPr>
        <w:spacing w:line="360" w:lineRule="auto"/>
        <w:rPr>
          <w:rFonts w:hAnsi="宋体" w:hint="eastAsia"/>
          <w:sz w:val="24"/>
        </w:rPr>
      </w:pPr>
      <w:r>
        <w:rPr>
          <w:rFonts w:hAnsi="宋体" w:hint="eastAsia"/>
          <w:sz w:val="24"/>
        </w:rPr>
        <w:t>主要受压元件材料证明书</w:t>
      </w:r>
    </w:p>
    <w:p w14:paraId="594656B0" w14:textId="77777777" w:rsidR="00FA5FC9" w:rsidRDefault="00000000">
      <w:pPr>
        <w:spacing w:line="360" w:lineRule="auto"/>
        <w:rPr>
          <w:rFonts w:hAnsi="宋体" w:hint="eastAsia"/>
          <w:sz w:val="24"/>
        </w:rPr>
      </w:pPr>
      <w:r>
        <w:rPr>
          <w:rFonts w:hAnsi="宋体" w:hint="eastAsia"/>
          <w:sz w:val="24"/>
        </w:rPr>
        <w:t>备品备件</w:t>
      </w:r>
    </w:p>
    <w:p w14:paraId="7A788F7D" w14:textId="77777777" w:rsidR="00FA5FC9" w:rsidRDefault="00000000">
      <w:pPr>
        <w:spacing w:line="360" w:lineRule="auto"/>
        <w:rPr>
          <w:rFonts w:hAnsi="宋体" w:hint="eastAsia"/>
          <w:sz w:val="24"/>
        </w:rPr>
      </w:pPr>
      <w:r>
        <w:rPr>
          <w:rFonts w:hAnsi="宋体" w:hint="eastAsia"/>
          <w:sz w:val="24"/>
        </w:rPr>
        <w:t>4.3</w:t>
      </w:r>
      <w:r>
        <w:rPr>
          <w:rFonts w:hAnsi="宋体" w:hint="eastAsia"/>
          <w:sz w:val="24"/>
        </w:rPr>
        <w:t>列出开车备件、操作备件清单</w:t>
      </w:r>
    </w:p>
    <w:p w14:paraId="7E25A5FE" w14:textId="77777777" w:rsidR="00FA5FC9" w:rsidRDefault="00000000">
      <w:pPr>
        <w:pStyle w:val="1"/>
        <w:spacing w:beforeLines="50" w:before="156" w:afterLines="50" w:after="156" w:line="360" w:lineRule="auto"/>
        <w:ind w:left="369" w:hanging="369"/>
        <w:rPr>
          <w:rFonts w:ascii="Times New Roman" w:eastAsia="宋体" w:hAnsi="Times New Roman" w:cs="宋体"/>
          <w:b/>
          <w:color w:val="auto"/>
          <w:sz w:val="28"/>
          <w:szCs w:val="28"/>
        </w:rPr>
      </w:pPr>
      <w:r>
        <w:rPr>
          <w:rFonts w:ascii="Times New Roman" w:eastAsia="宋体" w:hAnsi="Times New Roman" w:cs="宋体" w:hint="eastAsia"/>
          <w:b/>
          <w:color w:val="auto"/>
          <w:sz w:val="28"/>
          <w:szCs w:val="28"/>
        </w:rPr>
        <w:t>5.</w:t>
      </w:r>
      <w:r>
        <w:rPr>
          <w:rFonts w:ascii="Times New Roman" w:eastAsia="宋体" w:hAnsi="Times New Roman" w:cs="宋体" w:hint="eastAsia"/>
          <w:b/>
          <w:color w:val="auto"/>
          <w:sz w:val="28"/>
          <w:szCs w:val="28"/>
        </w:rPr>
        <w:t>质量保证与性能考核</w:t>
      </w:r>
    </w:p>
    <w:p w14:paraId="055DFD95" w14:textId="77777777" w:rsidR="00FA5FC9" w:rsidRDefault="00000000">
      <w:pPr>
        <w:spacing w:line="360" w:lineRule="auto"/>
        <w:rPr>
          <w:rFonts w:hAnsi="宋体" w:hint="eastAsia"/>
          <w:sz w:val="24"/>
        </w:rPr>
      </w:pPr>
      <w:r>
        <w:rPr>
          <w:rFonts w:hAnsi="宋体" w:hint="eastAsia"/>
          <w:sz w:val="24"/>
        </w:rPr>
        <w:t>5.1</w:t>
      </w:r>
      <w:r>
        <w:rPr>
          <w:rFonts w:hAnsi="宋体" w:hint="eastAsia"/>
          <w:sz w:val="24"/>
        </w:rPr>
        <w:t>质量保证</w:t>
      </w:r>
    </w:p>
    <w:p w14:paraId="01D5FDCC" w14:textId="77777777" w:rsidR="00FA5FC9" w:rsidRDefault="00000000">
      <w:pPr>
        <w:pStyle w:val="af2"/>
        <w:numPr>
          <w:ilvl w:val="2"/>
          <w:numId w:val="0"/>
        </w:numPr>
        <w:spacing w:before="60" w:after="60" w:line="360" w:lineRule="auto"/>
        <w:ind w:left="720" w:hanging="720"/>
        <w:rPr>
          <w:rFonts w:ascii="宋体" w:hAnsi="宋体" w:hint="eastAsia"/>
          <w:sz w:val="24"/>
        </w:rPr>
      </w:pPr>
      <w:r>
        <w:rPr>
          <w:rFonts w:ascii="宋体" w:hAnsi="宋体" w:hint="eastAsia"/>
          <w:sz w:val="24"/>
        </w:rPr>
        <w:t>5</w:t>
      </w:r>
      <w:r>
        <w:rPr>
          <w:rFonts w:ascii="宋体" w:hAnsi="宋体"/>
          <w:sz w:val="24"/>
        </w:rPr>
        <w:t>.1.1</w:t>
      </w:r>
      <w:r>
        <w:rPr>
          <w:rFonts w:ascii="宋体" w:hAnsi="宋体" w:hint="eastAsia"/>
          <w:sz w:val="24"/>
        </w:rPr>
        <w:t>投标方应有完善的质量保证体系，这些体系应有符合ISO9001系列的要求。</w:t>
      </w:r>
    </w:p>
    <w:p w14:paraId="09762539" w14:textId="77777777" w:rsidR="00FA5FC9" w:rsidRDefault="00000000">
      <w:pPr>
        <w:pStyle w:val="af2"/>
        <w:numPr>
          <w:ilvl w:val="2"/>
          <w:numId w:val="0"/>
        </w:numPr>
        <w:spacing w:before="60" w:after="60" w:line="360" w:lineRule="auto"/>
        <w:ind w:left="720" w:hanging="720"/>
        <w:rPr>
          <w:rFonts w:ascii="宋体" w:hAnsi="宋体" w:hint="eastAsia"/>
          <w:sz w:val="24"/>
        </w:rPr>
      </w:pPr>
      <w:r>
        <w:rPr>
          <w:rFonts w:ascii="宋体" w:hAnsi="宋体" w:hint="eastAsia"/>
          <w:sz w:val="24"/>
        </w:rPr>
        <w:t>5</w:t>
      </w:r>
      <w:r>
        <w:rPr>
          <w:rFonts w:ascii="宋体" w:hAnsi="宋体"/>
          <w:sz w:val="24"/>
        </w:rPr>
        <w:t>.1.2</w:t>
      </w:r>
      <w:r>
        <w:rPr>
          <w:rFonts w:ascii="宋体" w:hAnsi="宋体" w:hint="eastAsia"/>
          <w:sz w:val="24"/>
        </w:rPr>
        <w:t>全部零部件均应进行工厂检验，并保证制造满足设计图纸的要求。</w:t>
      </w:r>
    </w:p>
    <w:p w14:paraId="147EB256" w14:textId="77777777" w:rsidR="00FA5FC9" w:rsidRDefault="00000000">
      <w:pPr>
        <w:pStyle w:val="af2"/>
        <w:numPr>
          <w:ilvl w:val="2"/>
          <w:numId w:val="0"/>
        </w:numPr>
        <w:spacing w:before="60" w:after="60" w:line="360" w:lineRule="auto"/>
        <w:ind w:left="720" w:hanging="720"/>
        <w:rPr>
          <w:rFonts w:ascii="宋体" w:hAnsi="宋体" w:hint="eastAsia"/>
          <w:sz w:val="24"/>
        </w:rPr>
      </w:pPr>
      <w:r>
        <w:rPr>
          <w:rFonts w:ascii="宋体" w:hAnsi="宋体" w:hint="eastAsia"/>
          <w:sz w:val="24"/>
        </w:rPr>
        <w:t>5</w:t>
      </w:r>
      <w:r>
        <w:rPr>
          <w:rFonts w:ascii="宋体" w:hAnsi="宋体"/>
          <w:sz w:val="24"/>
        </w:rPr>
        <w:t>.1.3</w:t>
      </w:r>
      <w:r>
        <w:rPr>
          <w:rFonts w:ascii="宋体" w:hAnsi="宋体" w:hint="eastAsia"/>
          <w:sz w:val="24"/>
        </w:rPr>
        <w:t>投标方应提供有关质量保证的各项文件，这些文件至少包括：</w:t>
      </w:r>
    </w:p>
    <w:p w14:paraId="5B8C414E" w14:textId="77777777" w:rsidR="00FA5FC9" w:rsidRDefault="00000000">
      <w:pPr>
        <w:pStyle w:val="af2"/>
        <w:numPr>
          <w:ilvl w:val="0"/>
          <w:numId w:val="1"/>
        </w:numPr>
        <w:spacing w:before="60" w:after="60" w:line="360" w:lineRule="auto"/>
        <w:contextualSpacing w:val="0"/>
        <w:rPr>
          <w:rFonts w:ascii="宋体" w:hAnsi="宋体" w:hint="eastAsia"/>
          <w:sz w:val="24"/>
        </w:rPr>
      </w:pPr>
      <w:r>
        <w:rPr>
          <w:rFonts w:ascii="宋体" w:hAnsi="宋体" w:hint="eastAsia"/>
          <w:sz w:val="24"/>
        </w:rPr>
        <w:t>产品检验合格证书;</w:t>
      </w:r>
    </w:p>
    <w:p w14:paraId="2EB24782" w14:textId="77777777" w:rsidR="00FA5FC9" w:rsidRDefault="00000000">
      <w:pPr>
        <w:pStyle w:val="af2"/>
        <w:numPr>
          <w:ilvl w:val="0"/>
          <w:numId w:val="1"/>
        </w:numPr>
        <w:spacing w:before="60" w:after="60" w:line="360" w:lineRule="auto"/>
        <w:contextualSpacing w:val="0"/>
        <w:rPr>
          <w:rFonts w:ascii="宋体" w:hAnsi="宋体" w:hint="eastAsia"/>
          <w:sz w:val="24"/>
        </w:rPr>
      </w:pPr>
      <w:r>
        <w:rPr>
          <w:rFonts w:ascii="宋体" w:hAnsi="宋体" w:hint="eastAsia"/>
          <w:sz w:val="24"/>
        </w:rPr>
        <w:t>材料合格证及按照订货合同规定提供的材料检验报告及压力容器监检资料；</w:t>
      </w:r>
    </w:p>
    <w:p w14:paraId="086E1342" w14:textId="77777777" w:rsidR="00FA5FC9" w:rsidRDefault="00000000">
      <w:pPr>
        <w:pStyle w:val="af2"/>
        <w:numPr>
          <w:ilvl w:val="0"/>
          <w:numId w:val="1"/>
        </w:numPr>
        <w:spacing w:before="60" w:after="60" w:line="360" w:lineRule="auto"/>
        <w:contextualSpacing w:val="0"/>
        <w:rPr>
          <w:rFonts w:ascii="宋体" w:hAnsi="宋体" w:hint="eastAsia"/>
          <w:sz w:val="24"/>
        </w:rPr>
      </w:pPr>
      <w:r>
        <w:rPr>
          <w:rFonts w:ascii="宋体" w:hAnsi="宋体" w:hint="eastAsia"/>
          <w:sz w:val="24"/>
        </w:rPr>
        <w:t>技术协议中对零件有热处理要求时，则应提供热处理报告。关键热处理件的加热温度、保温时间或加热制度应保留质量记录，以备检查；</w:t>
      </w:r>
    </w:p>
    <w:p w14:paraId="01E573F7" w14:textId="77777777" w:rsidR="00FA5FC9" w:rsidRDefault="00000000">
      <w:pPr>
        <w:pStyle w:val="af2"/>
        <w:numPr>
          <w:ilvl w:val="0"/>
          <w:numId w:val="1"/>
        </w:numPr>
        <w:spacing w:before="60" w:after="60" w:line="360" w:lineRule="auto"/>
        <w:contextualSpacing w:val="0"/>
        <w:rPr>
          <w:rFonts w:ascii="宋体" w:hAnsi="宋体" w:hint="eastAsia"/>
          <w:sz w:val="24"/>
        </w:rPr>
      </w:pPr>
      <w:r>
        <w:rPr>
          <w:rFonts w:ascii="宋体" w:hAnsi="宋体" w:hint="eastAsia"/>
          <w:sz w:val="24"/>
        </w:rPr>
        <w:t>技术协议中对材料检验有特殊规定，或要求进行无损探伤检验时，则还应提供相应的检验报告；</w:t>
      </w:r>
    </w:p>
    <w:p w14:paraId="5A9E8BEB" w14:textId="77777777" w:rsidR="00FA5FC9" w:rsidRDefault="00000000">
      <w:pPr>
        <w:pStyle w:val="af2"/>
        <w:numPr>
          <w:ilvl w:val="0"/>
          <w:numId w:val="1"/>
        </w:numPr>
        <w:spacing w:before="60" w:after="60" w:line="360" w:lineRule="auto"/>
        <w:contextualSpacing w:val="0"/>
        <w:rPr>
          <w:rFonts w:ascii="宋体" w:hAnsi="宋体" w:hint="eastAsia"/>
          <w:sz w:val="24"/>
        </w:rPr>
      </w:pPr>
      <w:r>
        <w:rPr>
          <w:rFonts w:ascii="宋体" w:hAnsi="宋体" w:hint="eastAsia"/>
          <w:sz w:val="24"/>
        </w:rPr>
        <w:t>技术协议中对壳体、密封性有要求时，则应提供试验报告，试验报告应</w:t>
      </w:r>
      <w:r>
        <w:rPr>
          <w:rFonts w:ascii="宋体" w:hAnsi="宋体" w:hint="eastAsia"/>
          <w:sz w:val="24"/>
        </w:rPr>
        <w:lastRenderedPageBreak/>
        <w:t>载明试验执行的标准、试验条件、试验结果等；</w:t>
      </w:r>
    </w:p>
    <w:p w14:paraId="0F6A9144" w14:textId="77777777" w:rsidR="00FA5FC9" w:rsidRDefault="00000000">
      <w:pPr>
        <w:pStyle w:val="af2"/>
        <w:numPr>
          <w:ilvl w:val="0"/>
          <w:numId w:val="1"/>
        </w:numPr>
        <w:spacing w:before="60" w:after="60" w:line="360" w:lineRule="auto"/>
        <w:contextualSpacing w:val="0"/>
        <w:rPr>
          <w:rFonts w:ascii="宋体" w:hAnsi="宋体" w:hint="eastAsia"/>
          <w:sz w:val="24"/>
        </w:rPr>
      </w:pPr>
      <w:r>
        <w:rPr>
          <w:rFonts w:ascii="宋体" w:hAnsi="宋体" w:hint="eastAsia"/>
          <w:sz w:val="24"/>
        </w:rPr>
        <w:t>图样上规定的重要配合尺寸与其加工后的实测尺寸，要对照列入检查报告；</w:t>
      </w:r>
    </w:p>
    <w:p w14:paraId="06538E7C" w14:textId="77777777" w:rsidR="00FA5FC9" w:rsidRDefault="00000000">
      <w:pPr>
        <w:pStyle w:val="af2"/>
        <w:numPr>
          <w:ilvl w:val="0"/>
          <w:numId w:val="1"/>
        </w:numPr>
        <w:spacing w:before="60" w:after="60" w:line="360" w:lineRule="auto"/>
        <w:contextualSpacing w:val="0"/>
        <w:rPr>
          <w:rFonts w:ascii="宋体" w:hAnsi="宋体" w:hint="eastAsia"/>
          <w:sz w:val="24"/>
        </w:rPr>
      </w:pPr>
      <w:r>
        <w:rPr>
          <w:rFonts w:ascii="宋体" w:hAnsi="宋体" w:hint="eastAsia"/>
          <w:sz w:val="24"/>
        </w:rPr>
        <w:t>外购的所有配套件的合格证、说明书及检验报告，其原件或复印件应附在产品的相应随机文件内；</w:t>
      </w:r>
    </w:p>
    <w:p w14:paraId="4E8DE80A" w14:textId="77777777" w:rsidR="00FA5FC9" w:rsidRDefault="00000000">
      <w:pPr>
        <w:pStyle w:val="af2"/>
        <w:numPr>
          <w:ilvl w:val="2"/>
          <w:numId w:val="0"/>
        </w:numPr>
        <w:spacing w:before="60" w:after="60" w:line="360" w:lineRule="auto"/>
        <w:ind w:left="720" w:hanging="720"/>
        <w:rPr>
          <w:rFonts w:ascii="宋体" w:hAnsi="宋体" w:hint="eastAsia"/>
          <w:sz w:val="24"/>
        </w:rPr>
      </w:pPr>
      <w:r>
        <w:rPr>
          <w:rFonts w:ascii="宋体" w:hAnsi="宋体" w:hint="eastAsia"/>
          <w:sz w:val="24"/>
        </w:rPr>
        <w:t>5</w:t>
      </w:r>
      <w:r>
        <w:rPr>
          <w:rFonts w:ascii="宋体" w:hAnsi="宋体"/>
          <w:sz w:val="24"/>
        </w:rPr>
        <w:t>.1.4</w:t>
      </w:r>
      <w:r>
        <w:rPr>
          <w:rFonts w:ascii="宋体" w:hAnsi="宋体" w:hint="eastAsia"/>
          <w:sz w:val="24"/>
        </w:rPr>
        <w:t>设备在技术协议规定的质保期内，因制造质量问题而发生损坏、或不能进行正常工作时，投标方应免费为招标方修理或免费更换零部件，直至满足使用要求。</w:t>
      </w:r>
    </w:p>
    <w:p w14:paraId="350B9BEE" w14:textId="77777777" w:rsidR="00FA5FC9" w:rsidRDefault="00000000">
      <w:pPr>
        <w:pStyle w:val="af2"/>
        <w:numPr>
          <w:ilvl w:val="2"/>
          <w:numId w:val="0"/>
        </w:numPr>
        <w:spacing w:before="60" w:after="60" w:line="360" w:lineRule="auto"/>
        <w:ind w:left="720" w:hanging="720"/>
        <w:rPr>
          <w:rFonts w:ascii="宋体" w:hAnsi="宋体" w:hint="eastAsia"/>
          <w:sz w:val="24"/>
        </w:rPr>
      </w:pPr>
      <w:r>
        <w:rPr>
          <w:rFonts w:ascii="宋体" w:hAnsi="宋体" w:hint="eastAsia"/>
          <w:sz w:val="24"/>
        </w:rPr>
        <w:t>5</w:t>
      </w:r>
      <w:r>
        <w:rPr>
          <w:rFonts w:ascii="宋体" w:hAnsi="宋体"/>
          <w:sz w:val="24"/>
        </w:rPr>
        <w:t>.1.5</w:t>
      </w:r>
      <w:r>
        <w:rPr>
          <w:rFonts w:ascii="宋体" w:hAnsi="宋体" w:hint="eastAsia"/>
          <w:sz w:val="24"/>
        </w:rPr>
        <w:t>因投标方设备质量问题导致招标方设备无法正常运行，造成损失的，招标方有权进行索赔。</w:t>
      </w:r>
    </w:p>
    <w:p w14:paraId="1969BA34" w14:textId="77777777" w:rsidR="00FA5FC9" w:rsidRDefault="00000000">
      <w:pPr>
        <w:pStyle w:val="af2"/>
        <w:numPr>
          <w:ilvl w:val="1"/>
          <w:numId w:val="0"/>
        </w:numPr>
        <w:spacing w:before="60" w:after="60" w:line="360" w:lineRule="auto"/>
        <w:rPr>
          <w:rFonts w:ascii="宋体" w:hAnsi="宋体" w:hint="eastAsia"/>
          <w:sz w:val="24"/>
        </w:rPr>
      </w:pPr>
      <w:r>
        <w:rPr>
          <w:rFonts w:ascii="宋体" w:hAnsi="宋体" w:hint="eastAsia"/>
          <w:sz w:val="24"/>
        </w:rPr>
        <w:t>5</w:t>
      </w:r>
      <w:r>
        <w:rPr>
          <w:rFonts w:ascii="宋体" w:hAnsi="宋体"/>
          <w:sz w:val="24"/>
        </w:rPr>
        <w:t>.2</w:t>
      </w:r>
      <w:r>
        <w:rPr>
          <w:rFonts w:ascii="宋体" w:hAnsi="宋体" w:hint="eastAsia"/>
          <w:sz w:val="24"/>
        </w:rPr>
        <w:t>质量保证期</w:t>
      </w:r>
    </w:p>
    <w:p w14:paraId="08190DF9"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质量保证期不低于壹年（整机投产验收合格后12个月）。</w:t>
      </w:r>
    </w:p>
    <w:p w14:paraId="4439BBF5"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使用寿命应不小于贰拾年。</w:t>
      </w:r>
    </w:p>
    <w:p w14:paraId="75EC902D" w14:textId="77777777" w:rsidR="00FA5FC9" w:rsidRDefault="00000000">
      <w:pPr>
        <w:pStyle w:val="1"/>
        <w:spacing w:beforeLines="50" w:before="156" w:afterLines="50" w:after="156" w:line="360" w:lineRule="auto"/>
        <w:ind w:left="369" w:hanging="369"/>
        <w:rPr>
          <w:rFonts w:ascii="Times New Roman" w:eastAsia="宋体" w:hAnsi="Times New Roman" w:cs="宋体"/>
          <w:b/>
          <w:color w:val="auto"/>
          <w:sz w:val="28"/>
          <w:szCs w:val="28"/>
        </w:rPr>
      </w:pPr>
      <w:bookmarkStart w:id="6" w:name="_Toc2219"/>
      <w:r>
        <w:rPr>
          <w:rFonts w:ascii="Times New Roman" w:eastAsia="宋体" w:hAnsi="Times New Roman" w:cs="宋体" w:hint="eastAsia"/>
          <w:b/>
          <w:color w:val="auto"/>
          <w:sz w:val="28"/>
          <w:szCs w:val="28"/>
        </w:rPr>
        <w:t>6.</w:t>
      </w:r>
      <w:r>
        <w:rPr>
          <w:rFonts w:ascii="Times New Roman" w:eastAsia="宋体" w:hAnsi="Times New Roman" w:cs="宋体" w:hint="eastAsia"/>
          <w:b/>
          <w:color w:val="auto"/>
          <w:sz w:val="28"/>
          <w:szCs w:val="28"/>
        </w:rPr>
        <w:t>监造与验收</w:t>
      </w:r>
      <w:bookmarkEnd w:id="6"/>
    </w:p>
    <w:p w14:paraId="0F63F6F3"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6.1招标方有权在合同设备制造过程中派驻招标方代表，进行监造和出厂前检验，了解设备组装、检验、试验和设备包装质量情况，并签字确认。投标方有配合监造义务，并及时提供相应资料，并不由此发生任何费用。</w:t>
      </w:r>
    </w:p>
    <w:p w14:paraId="090591A3"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6.2投标方应为招标方代表提供下列方便：</w:t>
      </w:r>
    </w:p>
    <w:p w14:paraId="35B0C706"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提前10天将设备监造及检验时间通知招标方代表；</w:t>
      </w:r>
    </w:p>
    <w:p w14:paraId="59CFFC7B"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招标方代表如不能按投标方通知按时到达现场，投标方的检验、试车工作可正常进行，其结果有效，但投标方应将结果通知招标方。</w:t>
      </w:r>
    </w:p>
    <w:p w14:paraId="1B15E994"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招标方代表有权通过投标方有关部门查（借）阅投标方与合同设备有关的标准（包括工厂标准）、图纸、资料、工艺及实际工艺过程和检验记录（包括中间检验记录），对于检验记录，如招标方认为需要复印存档，投标方应提供方便。投标方有配合招标方监造的义务，并提供招标方需要的相关资料、检测器具。</w:t>
      </w:r>
    </w:p>
    <w:p w14:paraId="32AEA603"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6.3招标方在监造中如发现设备和材料缺陷或不符合规定的标准要求时，招标方代表有权提出意见，投标方应采取相应改进措施，以保证交货质量。无论招标方是否要求或是否知道，投标方均有义务主动及时地向招标方提供合同设备制</w:t>
      </w:r>
      <w:r>
        <w:rPr>
          <w:rFonts w:ascii="宋体" w:hAnsi="宋体" w:hint="eastAsia"/>
          <w:sz w:val="24"/>
        </w:rPr>
        <w:lastRenderedPageBreak/>
        <w:t>造过程中出现的较大质量缺陷和问题，不得隐瞒。在招标方不知道的情况下投标方不得擅自处理。</w:t>
      </w:r>
    </w:p>
    <w:p w14:paraId="7123935C"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6.4无论招标方人员是否参与监造及出厂检验或招标方代表参加了监造与检验，并且签了监造与检验报告，均不能视为投标方按合同规定应承担的质量保证责任的解除，也不能免除投标方对设备质量应负的责任。</w:t>
      </w:r>
    </w:p>
    <w:p w14:paraId="7CD91B31"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6.5货到达目的地后，如有必要，投标方应在接到招标方通知后及时赶到现场与招标方根据运单和装箱组织对货物包装，外观及件数进行清点检验。招标方应在开箱检查前5天通知投标方开箱检验，投标方应派检验人员参与现场检验工作，如投标方人员未按规定赶赴现场，招标方有权自行开箱检验，检验结果和记录对双方均有效，并作为招标方向投标方索赔依据。</w:t>
      </w:r>
    </w:p>
    <w:p w14:paraId="2FF520DC"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6.6供货范围内的设备出厂时必须附有出厂检验报告、合格证书，主要进口设备(如有)提供设备的原产地证明。</w:t>
      </w:r>
    </w:p>
    <w:p w14:paraId="69FA6DB6"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6.7设备的调试、性能考核和验收</w:t>
      </w:r>
    </w:p>
    <w:p w14:paraId="474FDE7F"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①在设备安装和机械试运转后，设备调试应在投标方工程师指导下进行。</w:t>
      </w:r>
    </w:p>
    <w:p w14:paraId="5E177FE2"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②设备性能考核应在双方代表共同参与的情况下进行。</w:t>
      </w:r>
    </w:p>
    <w:p w14:paraId="4691E176"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③设备性能考核应能满足性能与机械保证中所要求的数据，性能考核的验收报告应在3天内由双方代表签字，验收报告一式四份。在考核中如有任何未能满足的保证数据，双方应共同按照下列方式找出问题并解决问题：</w:t>
      </w:r>
    </w:p>
    <w:p w14:paraId="658335F8"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第一种方式：</w:t>
      </w:r>
    </w:p>
    <w:p w14:paraId="75BA5D95"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若投标方原因造成的未能达到设计要求，投标方应采用一切必要的措施来改善设备性能，直到满足保证数据，所发生的费用由投标方负责。</w:t>
      </w:r>
    </w:p>
    <w:p w14:paraId="09A50BF4"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第二种方式：</w:t>
      </w:r>
    </w:p>
    <w:p w14:paraId="1BC835A2"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若招标原因造成的未能达到设计要求，招标应采用一切必要的措施来消除这种缺陷，并组织第二次性能考核，所发生的费用由招标负责，招标方协助甲方直到设备满足保证数据。</w:t>
      </w:r>
    </w:p>
    <w:p w14:paraId="6ABE3ED9"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6.8检验规程</w:t>
      </w:r>
    </w:p>
    <w:p w14:paraId="1F7DF11D"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①外观检验</w:t>
      </w:r>
    </w:p>
    <w:p w14:paraId="3D9796B0"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整体应美观，不应有凹坑等缺陷。焊接部分应平整且符合GB150标准的规定。外表油漆应光洁，不应有脱落和锈斑现象，外表颜色需经甲方确认。</w:t>
      </w:r>
    </w:p>
    <w:p w14:paraId="7B7CBDC4"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lastRenderedPageBreak/>
        <w:t>②整机试压检验</w:t>
      </w:r>
    </w:p>
    <w:p w14:paraId="7B89149E"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整机出厂前做耐压试验，以设计压力的1.25倍进行耐压试验，30min内压力应无下降，然后缓慢降至设计压力，30min无异样后缓慢降压至零。</w:t>
      </w:r>
    </w:p>
    <w:p w14:paraId="54E8DA86" w14:textId="77777777" w:rsidR="00FA5FC9" w:rsidRDefault="00000000">
      <w:pPr>
        <w:pStyle w:val="af2"/>
        <w:spacing w:line="360" w:lineRule="auto"/>
        <w:ind w:leftChars="200" w:left="420"/>
        <w:rPr>
          <w:rFonts w:ascii="宋体" w:hAnsi="宋体" w:hint="eastAsia"/>
          <w:sz w:val="24"/>
        </w:rPr>
      </w:pPr>
      <w:r>
        <w:rPr>
          <w:rFonts w:ascii="宋体" w:hAnsi="宋体" w:hint="eastAsia"/>
          <w:sz w:val="24"/>
        </w:rPr>
        <w:t>6.9投标方</w:t>
      </w:r>
      <w:r>
        <w:rPr>
          <w:rFonts w:ascii="宋体" w:hAnsi="宋体" w:cs="宋体" w:hint="eastAsia"/>
          <w:sz w:val="24"/>
        </w:rPr>
        <w:t>负责设备包装运输，包装满足运输和装卸要求，防潮湿、防磕碰、防振动。</w:t>
      </w:r>
    </w:p>
    <w:p w14:paraId="04141A87" w14:textId="77777777" w:rsidR="00FA5FC9" w:rsidRDefault="00000000">
      <w:pPr>
        <w:pStyle w:val="1"/>
        <w:spacing w:beforeLines="50" w:before="156" w:afterLines="50" w:after="156" w:line="360" w:lineRule="auto"/>
        <w:ind w:left="369" w:hanging="369"/>
        <w:rPr>
          <w:rFonts w:ascii="Times New Roman" w:eastAsia="宋体" w:hAnsi="Times New Roman" w:cs="宋体"/>
          <w:b/>
          <w:color w:val="auto"/>
          <w:sz w:val="28"/>
          <w:szCs w:val="28"/>
        </w:rPr>
      </w:pPr>
      <w:bookmarkStart w:id="7" w:name="_Toc6818"/>
      <w:r>
        <w:rPr>
          <w:rFonts w:ascii="Times New Roman" w:eastAsia="宋体" w:hAnsi="Times New Roman" w:cs="宋体" w:hint="eastAsia"/>
          <w:b/>
          <w:color w:val="auto"/>
          <w:sz w:val="28"/>
          <w:szCs w:val="28"/>
        </w:rPr>
        <w:t>7.</w:t>
      </w:r>
      <w:r>
        <w:rPr>
          <w:rFonts w:ascii="Times New Roman" w:eastAsia="宋体" w:hAnsi="Times New Roman" w:cs="宋体" w:hint="eastAsia"/>
          <w:b/>
          <w:color w:val="auto"/>
          <w:sz w:val="28"/>
          <w:szCs w:val="28"/>
        </w:rPr>
        <w:t>设备涂装</w:t>
      </w:r>
      <w:bookmarkEnd w:id="7"/>
    </w:p>
    <w:p w14:paraId="124A6A56"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bookmarkStart w:id="8" w:name="_Hlk141026150"/>
      <w:r>
        <w:rPr>
          <w:rFonts w:ascii="宋体" w:hAnsi="宋体" w:hint="eastAsia"/>
          <w:sz w:val="24"/>
        </w:rPr>
        <w:t>1）.标准色卡号面漆颜色GSB05-1426-2001</w:t>
      </w:r>
    </w:p>
    <w:p w14:paraId="4BDE2F0C"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面漆颜色需满足业主要求。</w:t>
      </w:r>
    </w:p>
    <w:p w14:paraId="25BFB5FA"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2） 防锈与涂漆</w:t>
      </w:r>
    </w:p>
    <w:p w14:paraId="46B510C3"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 xml:space="preserve">  根据生产环境特点，所有的</w:t>
      </w:r>
      <w:bookmarkStart w:id="9" w:name="_Hlk161988579"/>
      <w:r>
        <w:rPr>
          <w:rFonts w:ascii="宋体" w:hAnsi="宋体" w:hint="eastAsia"/>
          <w:sz w:val="24"/>
        </w:rPr>
        <w:t>钢结构都进行除锈和防腐处理，除锈等级不低于Sa2.5，防腐年限不小于10年</w:t>
      </w:r>
      <w:bookmarkEnd w:id="9"/>
      <w:r>
        <w:rPr>
          <w:rFonts w:ascii="宋体" w:hAnsi="宋体" w:hint="eastAsia"/>
          <w:sz w:val="24"/>
        </w:rPr>
        <w:t>。钢结构防腐满足现行《工业建筑防腐蚀设计标准》的要求。</w:t>
      </w:r>
    </w:p>
    <w:p w14:paraId="2B50D39F"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室内主体结构，使用温度＜120℃。表面处理不低于Sa2½级，漆膜厚度如下表：</w:t>
      </w:r>
    </w:p>
    <w:tbl>
      <w:tblPr>
        <w:tblW w:w="0" w:type="auto"/>
        <w:jc w:val="center"/>
        <w:tblLayout w:type="fixed"/>
        <w:tblLook w:val="04A0" w:firstRow="1" w:lastRow="0" w:firstColumn="1" w:lastColumn="0" w:noHBand="0" w:noVBand="1"/>
      </w:tblPr>
      <w:tblGrid>
        <w:gridCol w:w="1736"/>
        <w:gridCol w:w="2631"/>
        <w:gridCol w:w="2490"/>
        <w:gridCol w:w="1738"/>
      </w:tblGrid>
      <w:tr w:rsidR="00FA5FC9" w14:paraId="6A29935C" w14:textId="77777777">
        <w:trPr>
          <w:trHeight w:val="619"/>
          <w:jc w:val="center"/>
        </w:trPr>
        <w:tc>
          <w:tcPr>
            <w:tcW w:w="1736" w:type="dxa"/>
            <w:tcBorders>
              <w:top w:val="single" w:sz="4" w:space="0" w:color="000000"/>
              <w:left w:val="single" w:sz="4" w:space="0" w:color="000000"/>
              <w:bottom w:val="single" w:sz="4" w:space="0" w:color="000000"/>
              <w:right w:val="single" w:sz="4" w:space="0" w:color="000000"/>
            </w:tcBorders>
            <w:vAlign w:val="center"/>
          </w:tcPr>
          <w:p w14:paraId="56D338E0" w14:textId="77777777" w:rsidR="00FA5FC9" w:rsidRDefault="00000000">
            <w:pPr>
              <w:pStyle w:val="af2"/>
              <w:numPr>
                <w:ilvl w:val="1"/>
                <w:numId w:val="0"/>
              </w:numPr>
              <w:spacing w:before="60" w:after="60"/>
              <w:ind w:firstLineChars="200" w:firstLine="480"/>
              <w:rPr>
                <w:rFonts w:ascii="宋体" w:hAnsi="宋体" w:hint="eastAsia"/>
                <w:sz w:val="24"/>
              </w:rPr>
            </w:pPr>
            <w:bookmarkStart w:id="10" w:name="_Toc58602279"/>
            <w:bookmarkStart w:id="11" w:name="_Toc58606725"/>
            <w:r>
              <w:rPr>
                <w:rFonts w:ascii="宋体" w:hAnsi="宋体" w:hint="eastAsia"/>
                <w:sz w:val="24"/>
              </w:rPr>
              <w:t>涂 层</w:t>
            </w:r>
            <w:bookmarkEnd w:id="10"/>
            <w:bookmarkEnd w:id="11"/>
          </w:p>
        </w:tc>
        <w:tc>
          <w:tcPr>
            <w:tcW w:w="2631" w:type="dxa"/>
            <w:tcBorders>
              <w:top w:val="single" w:sz="4" w:space="0" w:color="000000"/>
              <w:bottom w:val="single" w:sz="4" w:space="0" w:color="000000"/>
              <w:right w:val="single" w:sz="4" w:space="0" w:color="000000"/>
            </w:tcBorders>
            <w:vAlign w:val="center"/>
          </w:tcPr>
          <w:p w14:paraId="0039D979" w14:textId="77777777" w:rsidR="00FA5FC9" w:rsidRDefault="00000000">
            <w:pPr>
              <w:pStyle w:val="af2"/>
              <w:numPr>
                <w:ilvl w:val="1"/>
                <w:numId w:val="0"/>
              </w:numPr>
              <w:spacing w:before="60" w:after="60"/>
              <w:ind w:firstLineChars="200" w:firstLine="480"/>
              <w:rPr>
                <w:rFonts w:ascii="宋体" w:hAnsi="宋体" w:hint="eastAsia"/>
                <w:sz w:val="24"/>
              </w:rPr>
            </w:pPr>
            <w:bookmarkStart w:id="12" w:name="_Toc58606726"/>
            <w:bookmarkStart w:id="13" w:name="_Toc58602280"/>
            <w:r>
              <w:rPr>
                <w:rFonts w:ascii="宋体" w:hAnsi="宋体" w:hint="eastAsia"/>
                <w:sz w:val="24"/>
              </w:rPr>
              <w:t>类  型</w:t>
            </w:r>
            <w:bookmarkEnd w:id="12"/>
            <w:bookmarkEnd w:id="13"/>
          </w:p>
        </w:tc>
        <w:tc>
          <w:tcPr>
            <w:tcW w:w="2490" w:type="dxa"/>
            <w:tcBorders>
              <w:top w:val="single" w:sz="4" w:space="0" w:color="000000"/>
              <w:bottom w:val="single" w:sz="4" w:space="0" w:color="000000"/>
              <w:right w:val="single" w:sz="4" w:space="0" w:color="000000"/>
            </w:tcBorders>
            <w:vAlign w:val="center"/>
          </w:tcPr>
          <w:p w14:paraId="4658A03E" w14:textId="77777777" w:rsidR="00FA5FC9" w:rsidRDefault="00000000">
            <w:pPr>
              <w:pStyle w:val="af2"/>
              <w:numPr>
                <w:ilvl w:val="1"/>
                <w:numId w:val="0"/>
              </w:numPr>
              <w:spacing w:before="60" w:after="60"/>
              <w:ind w:firstLineChars="200" w:firstLine="480"/>
              <w:rPr>
                <w:rFonts w:ascii="宋体" w:hAnsi="宋体" w:hint="eastAsia"/>
                <w:sz w:val="24"/>
              </w:rPr>
            </w:pPr>
            <w:bookmarkStart w:id="14" w:name="_Toc58606727"/>
            <w:bookmarkStart w:id="15" w:name="_Toc58602281"/>
            <w:r>
              <w:rPr>
                <w:rFonts w:ascii="宋体" w:hAnsi="宋体" w:hint="eastAsia"/>
                <w:sz w:val="24"/>
              </w:rPr>
              <w:t>干膜厚度</w:t>
            </w:r>
            <w:bookmarkEnd w:id="14"/>
            <w:bookmarkEnd w:id="15"/>
          </w:p>
          <w:p w14:paraId="51084796" w14:textId="77777777" w:rsidR="00FA5FC9" w:rsidRDefault="00000000">
            <w:pPr>
              <w:pStyle w:val="af2"/>
              <w:numPr>
                <w:ilvl w:val="1"/>
                <w:numId w:val="0"/>
              </w:numPr>
              <w:spacing w:before="60" w:after="60"/>
              <w:ind w:firstLineChars="200" w:firstLine="480"/>
              <w:rPr>
                <w:rFonts w:ascii="宋体" w:hAnsi="宋体" w:hint="eastAsia"/>
                <w:sz w:val="24"/>
              </w:rPr>
            </w:pPr>
            <w:bookmarkStart w:id="16" w:name="_Toc58606728"/>
            <w:bookmarkStart w:id="17" w:name="_Toc58602282"/>
            <w:r>
              <w:rPr>
                <w:rFonts w:ascii="宋体" w:hAnsi="宋体" w:hint="eastAsia"/>
                <w:sz w:val="24"/>
              </w:rPr>
              <w:t>（µm）</w:t>
            </w:r>
            <w:bookmarkEnd w:id="16"/>
            <w:bookmarkEnd w:id="17"/>
          </w:p>
        </w:tc>
        <w:tc>
          <w:tcPr>
            <w:tcW w:w="1738" w:type="dxa"/>
            <w:tcBorders>
              <w:top w:val="single" w:sz="4" w:space="0" w:color="000000"/>
              <w:bottom w:val="single" w:sz="4" w:space="0" w:color="000000"/>
              <w:right w:val="single" w:sz="4" w:space="0" w:color="000000"/>
            </w:tcBorders>
            <w:vAlign w:val="center"/>
          </w:tcPr>
          <w:p w14:paraId="45AF1E48" w14:textId="77777777" w:rsidR="00FA5FC9" w:rsidRDefault="00000000">
            <w:pPr>
              <w:pStyle w:val="af2"/>
              <w:numPr>
                <w:ilvl w:val="1"/>
                <w:numId w:val="0"/>
              </w:numPr>
              <w:spacing w:before="60" w:after="60"/>
              <w:ind w:firstLineChars="200" w:firstLine="480"/>
              <w:rPr>
                <w:rFonts w:ascii="宋体" w:hAnsi="宋体" w:hint="eastAsia"/>
                <w:sz w:val="24"/>
              </w:rPr>
            </w:pPr>
            <w:bookmarkStart w:id="18" w:name="_Toc58602283"/>
            <w:bookmarkStart w:id="19" w:name="_Toc58606729"/>
            <w:r>
              <w:rPr>
                <w:rFonts w:ascii="宋体" w:hAnsi="宋体" w:hint="eastAsia"/>
                <w:sz w:val="24"/>
              </w:rPr>
              <w:t>表面处理</w:t>
            </w:r>
            <w:bookmarkEnd w:id="18"/>
            <w:bookmarkEnd w:id="19"/>
          </w:p>
        </w:tc>
      </w:tr>
      <w:tr w:rsidR="00FA5FC9" w14:paraId="0B68A563" w14:textId="77777777">
        <w:trPr>
          <w:trHeight w:val="435"/>
          <w:jc w:val="center"/>
        </w:trPr>
        <w:tc>
          <w:tcPr>
            <w:tcW w:w="1736" w:type="dxa"/>
            <w:tcBorders>
              <w:top w:val="single" w:sz="4" w:space="0" w:color="000000"/>
              <w:left w:val="single" w:sz="4" w:space="0" w:color="000000"/>
              <w:bottom w:val="single" w:sz="4" w:space="0" w:color="000000"/>
              <w:right w:val="single" w:sz="4" w:space="0" w:color="000000"/>
            </w:tcBorders>
            <w:vAlign w:val="center"/>
          </w:tcPr>
          <w:p w14:paraId="58071D24" w14:textId="77777777" w:rsidR="00FA5FC9" w:rsidRDefault="00000000">
            <w:pPr>
              <w:pStyle w:val="af2"/>
              <w:numPr>
                <w:ilvl w:val="1"/>
                <w:numId w:val="0"/>
              </w:numPr>
              <w:spacing w:before="60" w:after="60"/>
              <w:ind w:firstLineChars="200" w:firstLine="480"/>
              <w:rPr>
                <w:rFonts w:ascii="宋体" w:hAnsi="宋体" w:hint="eastAsia"/>
                <w:sz w:val="24"/>
              </w:rPr>
            </w:pPr>
            <w:bookmarkStart w:id="20" w:name="_Toc58606730"/>
            <w:bookmarkStart w:id="21" w:name="_Toc58602284"/>
            <w:r>
              <w:rPr>
                <w:rFonts w:ascii="宋体" w:hAnsi="宋体" w:hint="eastAsia"/>
                <w:sz w:val="24"/>
              </w:rPr>
              <w:t>底漆</w:t>
            </w:r>
            <w:bookmarkEnd w:id="20"/>
            <w:bookmarkEnd w:id="21"/>
          </w:p>
        </w:tc>
        <w:tc>
          <w:tcPr>
            <w:tcW w:w="2631" w:type="dxa"/>
            <w:tcBorders>
              <w:top w:val="single" w:sz="4" w:space="0" w:color="000000"/>
              <w:bottom w:val="single" w:sz="4" w:space="0" w:color="000000"/>
              <w:right w:val="single" w:sz="4" w:space="0" w:color="000000"/>
            </w:tcBorders>
            <w:vAlign w:val="center"/>
          </w:tcPr>
          <w:p w14:paraId="23F5DD6C" w14:textId="77777777" w:rsidR="00FA5FC9" w:rsidRDefault="00000000">
            <w:pPr>
              <w:pStyle w:val="af2"/>
              <w:numPr>
                <w:ilvl w:val="1"/>
                <w:numId w:val="0"/>
              </w:numPr>
              <w:spacing w:before="60" w:after="60"/>
              <w:ind w:firstLineChars="200" w:firstLine="480"/>
              <w:rPr>
                <w:rFonts w:ascii="宋体" w:hAnsi="宋体" w:hint="eastAsia"/>
                <w:sz w:val="24"/>
              </w:rPr>
            </w:pPr>
            <w:bookmarkStart w:id="22" w:name="_Toc58602285"/>
            <w:bookmarkStart w:id="23" w:name="_Toc58606731"/>
            <w:r>
              <w:rPr>
                <w:rFonts w:ascii="宋体" w:hAnsi="宋体" w:hint="eastAsia"/>
                <w:sz w:val="24"/>
              </w:rPr>
              <w:t>多用途环氧漆</w:t>
            </w:r>
            <w:bookmarkEnd w:id="22"/>
            <w:bookmarkEnd w:id="23"/>
          </w:p>
        </w:tc>
        <w:tc>
          <w:tcPr>
            <w:tcW w:w="2490" w:type="dxa"/>
            <w:tcBorders>
              <w:top w:val="single" w:sz="4" w:space="0" w:color="000000"/>
              <w:bottom w:val="single" w:sz="4" w:space="0" w:color="000000"/>
              <w:right w:val="single" w:sz="4" w:space="0" w:color="000000"/>
            </w:tcBorders>
            <w:vAlign w:val="center"/>
          </w:tcPr>
          <w:p w14:paraId="2A3C4EEE" w14:textId="77777777" w:rsidR="00FA5FC9" w:rsidRDefault="00000000">
            <w:pPr>
              <w:pStyle w:val="af2"/>
              <w:numPr>
                <w:ilvl w:val="1"/>
                <w:numId w:val="0"/>
              </w:numPr>
              <w:spacing w:before="60" w:after="60"/>
              <w:ind w:firstLineChars="200" w:firstLine="480"/>
              <w:rPr>
                <w:rFonts w:ascii="宋体" w:hAnsi="宋体" w:hint="eastAsia"/>
                <w:sz w:val="24"/>
              </w:rPr>
            </w:pPr>
            <w:bookmarkStart w:id="24" w:name="_Toc58602286"/>
            <w:bookmarkStart w:id="25" w:name="_Toc58606732"/>
            <w:r>
              <w:rPr>
                <w:rFonts w:ascii="宋体" w:hAnsi="宋体" w:hint="eastAsia"/>
                <w:sz w:val="24"/>
              </w:rPr>
              <w:t>50</w:t>
            </w:r>
            <w:bookmarkEnd w:id="24"/>
            <w:bookmarkEnd w:id="25"/>
          </w:p>
        </w:tc>
        <w:tc>
          <w:tcPr>
            <w:tcW w:w="1738" w:type="dxa"/>
            <w:vMerge w:val="restart"/>
            <w:tcBorders>
              <w:bottom w:val="single" w:sz="4" w:space="0" w:color="000000"/>
              <w:right w:val="single" w:sz="4" w:space="0" w:color="000000"/>
            </w:tcBorders>
            <w:vAlign w:val="center"/>
          </w:tcPr>
          <w:p w14:paraId="66ACBA01" w14:textId="77777777" w:rsidR="00FA5FC9" w:rsidRDefault="00000000">
            <w:pPr>
              <w:pStyle w:val="af2"/>
              <w:numPr>
                <w:ilvl w:val="1"/>
                <w:numId w:val="0"/>
              </w:numPr>
              <w:spacing w:before="60" w:after="60"/>
              <w:rPr>
                <w:rFonts w:ascii="宋体" w:hAnsi="宋体" w:hint="eastAsia"/>
                <w:sz w:val="24"/>
              </w:rPr>
            </w:pPr>
            <w:bookmarkStart w:id="26" w:name="_Toc58602287"/>
            <w:bookmarkStart w:id="27" w:name="_Toc58606733"/>
            <w:r>
              <w:rPr>
                <w:rFonts w:ascii="宋体" w:hAnsi="宋体" w:hint="eastAsia"/>
                <w:sz w:val="24"/>
              </w:rPr>
              <w:t>不低于Sa2½级</w:t>
            </w:r>
            <w:bookmarkStart w:id="28" w:name="_Toc58606734"/>
            <w:bookmarkStart w:id="29" w:name="_Toc58602288"/>
            <w:bookmarkEnd w:id="26"/>
            <w:bookmarkEnd w:id="27"/>
            <w:r>
              <w:rPr>
                <w:rFonts w:ascii="宋体" w:hAnsi="宋体" w:hint="eastAsia"/>
                <w:sz w:val="24"/>
              </w:rPr>
              <w:t>除锈</w:t>
            </w:r>
            <w:bookmarkEnd w:id="28"/>
            <w:bookmarkEnd w:id="29"/>
          </w:p>
        </w:tc>
      </w:tr>
      <w:tr w:rsidR="00FA5FC9" w14:paraId="32246745" w14:textId="77777777">
        <w:trPr>
          <w:trHeight w:val="180"/>
          <w:jc w:val="center"/>
        </w:trPr>
        <w:tc>
          <w:tcPr>
            <w:tcW w:w="1736" w:type="dxa"/>
            <w:tcBorders>
              <w:top w:val="single" w:sz="4" w:space="0" w:color="000000"/>
              <w:left w:val="single" w:sz="4" w:space="0" w:color="000000"/>
              <w:bottom w:val="single" w:sz="4" w:space="0" w:color="000000"/>
              <w:right w:val="single" w:sz="4" w:space="0" w:color="000000"/>
            </w:tcBorders>
            <w:vAlign w:val="center"/>
          </w:tcPr>
          <w:p w14:paraId="489D8574" w14:textId="77777777" w:rsidR="00FA5FC9" w:rsidRDefault="00000000">
            <w:pPr>
              <w:pStyle w:val="af2"/>
              <w:numPr>
                <w:ilvl w:val="1"/>
                <w:numId w:val="0"/>
              </w:numPr>
              <w:spacing w:before="60" w:after="60"/>
              <w:ind w:firstLineChars="200" w:firstLine="480"/>
              <w:rPr>
                <w:rFonts w:ascii="宋体" w:hAnsi="宋体" w:hint="eastAsia"/>
                <w:sz w:val="24"/>
              </w:rPr>
            </w:pPr>
            <w:bookmarkStart w:id="30" w:name="_Toc58602289"/>
            <w:bookmarkStart w:id="31" w:name="_Toc58606735"/>
            <w:r>
              <w:rPr>
                <w:rFonts w:ascii="宋体" w:hAnsi="宋体" w:hint="eastAsia"/>
                <w:sz w:val="24"/>
              </w:rPr>
              <w:t>中漆</w:t>
            </w:r>
            <w:bookmarkEnd w:id="30"/>
            <w:bookmarkEnd w:id="31"/>
          </w:p>
        </w:tc>
        <w:tc>
          <w:tcPr>
            <w:tcW w:w="2631" w:type="dxa"/>
            <w:tcBorders>
              <w:top w:val="single" w:sz="4" w:space="0" w:color="000000"/>
              <w:bottom w:val="single" w:sz="4" w:space="0" w:color="000000"/>
              <w:right w:val="single" w:sz="4" w:space="0" w:color="000000"/>
            </w:tcBorders>
            <w:vAlign w:val="center"/>
          </w:tcPr>
          <w:p w14:paraId="5E159FB6" w14:textId="77777777" w:rsidR="00FA5FC9" w:rsidRDefault="00000000">
            <w:pPr>
              <w:pStyle w:val="af2"/>
              <w:numPr>
                <w:ilvl w:val="1"/>
                <w:numId w:val="0"/>
              </w:numPr>
              <w:spacing w:before="60" w:after="60"/>
              <w:ind w:firstLineChars="200" w:firstLine="480"/>
              <w:rPr>
                <w:rFonts w:ascii="宋体" w:hAnsi="宋体" w:hint="eastAsia"/>
                <w:sz w:val="24"/>
              </w:rPr>
            </w:pPr>
            <w:bookmarkStart w:id="32" w:name="_Toc58602290"/>
            <w:bookmarkStart w:id="33" w:name="_Toc58606736"/>
            <w:r>
              <w:rPr>
                <w:rFonts w:ascii="宋体" w:hAnsi="宋体" w:hint="eastAsia"/>
                <w:sz w:val="24"/>
              </w:rPr>
              <w:t>多用途环氧漆</w:t>
            </w:r>
            <w:bookmarkEnd w:id="32"/>
            <w:bookmarkEnd w:id="33"/>
          </w:p>
        </w:tc>
        <w:tc>
          <w:tcPr>
            <w:tcW w:w="2490" w:type="dxa"/>
            <w:tcBorders>
              <w:top w:val="single" w:sz="4" w:space="0" w:color="000000"/>
              <w:bottom w:val="single" w:sz="4" w:space="0" w:color="000000"/>
              <w:right w:val="single" w:sz="4" w:space="0" w:color="000000"/>
            </w:tcBorders>
            <w:vAlign w:val="center"/>
          </w:tcPr>
          <w:p w14:paraId="7E9CEA85" w14:textId="77777777" w:rsidR="00FA5FC9" w:rsidRDefault="00000000">
            <w:pPr>
              <w:pStyle w:val="af2"/>
              <w:numPr>
                <w:ilvl w:val="1"/>
                <w:numId w:val="0"/>
              </w:numPr>
              <w:spacing w:before="60" w:after="60"/>
              <w:ind w:firstLineChars="200" w:firstLine="480"/>
              <w:rPr>
                <w:rFonts w:ascii="宋体" w:hAnsi="宋体" w:hint="eastAsia"/>
                <w:sz w:val="24"/>
              </w:rPr>
            </w:pPr>
            <w:bookmarkStart w:id="34" w:name="_Toc58606737"/>
            <w:bookmarkStart w:id="35" w:name="_Toc58602291"/>
            <w:r>
              <w:rPr>
                <w:rFonts w:ascii="宋体" w:hAnsi="宋体" w:hint="eastAsia"/>
                <w:sz w:val="24"/>
              </w:rPr>
              <w:t>40</w:t>
            </w:r>
            <w:bookmarkEnd w:id="34"/>
            <w:bookmarkEnd w:id="35"/>
          </w:p>
        </w:tc>
        <w:tc>
          <w:tcPr>
            <w:tcW w:w="1738" w:type="dxa"/>
            <w:vMerge/>
            <w:tcBorders>
              <w:bottom w:val="single" w:sz="4" w:space="0" w:color="000000"/>
              <w:right w:val="single" w:sz="4" w:space="0" w:color="000000"/>
            </w:tcBorders>
            <w:vAlign w:val="center"/>
          </w:tcPr>
          <w:p w14:paraId="64DDF59D" w14:textId="77777777" w:rsidR="00FA5FC9" w:rsidRDefault="00FA5FC9">
            <w:pPr>
              <w:pStyle w:val="af2"/>
              <w:numPr>
                <w:ilvl w:val="1"/>
                <w:numId w:val="0"/>
              </w:numPr>
              <w:spacing w:before="60" w:after="60"/>
              <w:ind w:firstLineChars="200" w:firstLine="480"/>
              <w:rPr>
                <w:rFonts w:ascii="宋体" w:hAnsi="宋体" w:hint="eastAsia"/>
                <w:sz w:val="24"/>
              </w:rPr>
            </w:pPr>
          </w:p>
        </w:tc>
      </w:tr>
      <w:tr w:rsidR="00FA5FC9" w14:paraId="43EDE2A5" w14:textId="77777777">
        <w:trPr>
          <w:trHeight w:val="482"/>
          <w:jc w:val="center"/>
        </w:trPr>
        <w:tc>
          <w:tcPr>
            <w:tcW w:w="1736" w:type="dxa"/>
            <w:tcBorders>
              <w:top w:val="single" w:sz="4" w:space="0" w:color="000000"/>
              <w:left w:val="single" w:sz="4" w:space="0" w:color="000000"/>
              <w:bottom w:val="single" w:sz="4" w:space="0" w:color="000000"/>
              <w:right w:val="single" w:sz="4" w:space="0" w:color="000000"/>
            </w:tcBorders>
            <w:vAlign w:val="center"/>
          </w:tcPr>
          <w:p w14:paraId="399A96BC" w14:textId="77777777" w:rsidR="00FA5FC9" w:rsidRDefault="00000000">
            <w:pPr>
              <w:pStyle w:val="af2"/>
              <w:numPr>
                <w:ilvl w:val="1"/>
                <w:numId w:val="0"/>
              </w:numPr>
              <w:spacing w:before="60" w:after="60"/>
              <w:ind w:firstLineChars="200" w:firstLine="480"/>
              <w:rPr>
                <w:rFonts w:ascii="宋体" w:hAnsi="宋体" w:hint="eastAsia"/>
                <w:sz w:val="24"/>
              </w:rPr>
            </w:pPr>
            <w:bookmarkStart w:id="36" w:name="_Toc58602292"/>
            <w:bookmarkStart w:id="37" w:name="_Toc58606738"/>
            <w:r>
              <w:rPr>
                <w:rFonts w:ascii="宋体" w:hAnsi="宋体" w:hint="eastAsia"/>
                <w:sz w:val="24"/>
              </w:rPr>
              <w:t>面漆</w:t>
            </w:r>
            <w:bookmarkEnd w:id="36"/>
            <w:bookmarkEnd w:id="37"/>
          </w:p>
        </w:tc>
        <w:tc>
          <w:tcPr>
            <w:tcW w:w="2631" w:type="dxa"/>
            <w:tcBorders>
              <w:top w:val="single" w:sz="4" w:space="0" w:color="000000"/>
              <w:bottom w:val="single" w:sz="4" w:space="0" w:color="000000"/>
              <w:right w:val="single" w:sz="4" w:space="0" w:color="000000"/>
            </w:tcBorders>
            <w:vAlign w:val="center"/>
          </w:tcPr>
          <w:p w14:paraId="7A958DE0" w14:textId="77777777" w:rsidR="00FA5FC9" w:rsidRDefault="00000000">
            <w:pPr>
              <w:pStyle w:val="af2"/>
              <w:numPr>
                <w:ilvl w:val="1"/>
                <w:numId w:val="0"/>
              </w:numPr>
              <w:spacing w:before="60" w:after="60"/>
              <w:ind w:firstLineChars="200" w:firstLine="480"/>
              <w:rPr>
                <w:rFonts w:ascii="宋体" w:hAnsi="宋体" w:hint="eastAsia"/>
                <w:sz w:val="24"/>
              </w:rPr>
            </w:pPr>
            <w:bookmarkStart w:id="38" w:name="_Toc58606739"/>
            <w:bookmarkStart w:id="39" w:name="_Toc58602293"/>
            <w:r>
              <w:rPr>
                <w:rFonts w:ascii="宋体" w:hAnsi="宋体" w:hint="eastAsia"/>
                <w:sz w:val="24"/>
              </w:rPr>
              <w:t>丙烯酸聚氨酯面漆</w:t>
            </w:r>
            <w:bookmarkEnd w:id="38"/>
            <w:bookmarkEnd w:id="39"/>
          </w:p>
        </w:tc>
        <w:tc>
          <w:tcPr>
            <w:tcW w:w="2490" w:type="dxa"/>
            <w:tcBorders>
              <w:top w:val="single" w:sz="4" w:space="0" w:color="000000"/>
              <w:bottom w:val="single" w:sz="4" w:space="0" w:color="000000"/>
              <w:right w:val="single" w:sz="4" w:space="0" w:color="000000"/>
            </w:tcBorders>
            <w:vAlign w:val="center"/>
          </w:tcPr>
          <w:p w14:paraId="5670B393" w14:textId="77777777" w:rsidR="00FA5FC9" w:rsidRDefault="00000000">
            <w:pPr>
              <w:pStyle w:val="af2"/>
              <w:numPr>
                <w:ilvl w:val="1"/>
                <w:numId w:val="0"/>
              </w:numPr>
              <w:spacing w:before="60" w:after="60"/>
              <w:ind w:firstLineChars="200" w:firstLine="480"/>
              <w:rPr>
                <w:rFonts w:ascii="宋体" w:hAnsi="宋体" w:hint="eastAsia"/>
                <w:sz w:val="24"/>
              </w:rPr>
            </w:pPr>
            <w:bookmarkStart w:id="40" w:name="_Toc58606740"/>
            <w:bookmarkStart w:id="41" w:name="_Toc58602294"/>
            <w:r>
              <w:rPr>
                <w:rFonts w:ascii="宋体" w:hAnsi="宋体" w:hint="eastAsia"/>
                <w:sz w:val="24"/>
              </w:rPr>
              <w:t>60</w:t>
            </w:r>
            <w:bookmarkEnd w:id="40"/>
            <w:bookmarkEnd w:id="41"/>
          </w:p>
        </w:tc>
        <w:tc>
          <w:tcPr>
            <w:tcW w:w="1738" w:type="dxa"/>
            <w:vMerge/>
            <w:tcBorders>
              <w:bottom w:val="single" w:sz="4" w:space="0" w:color="000000"/>
              <w:right w:val="single" w:sz="4" w:space="0" w:color="000000"/>
            </w:tcBorders>
            <w:vAlign w:val="center"/>
          </w:tcPr>
          <w:p w14:paraId="3CA5E924" w14:textId="77777777" w:rsidR="00FA5FC9" w:rsidRDefault="00FA5FC9">
            <w:pPr>
              <w:pStyle w:val="af2"/>
              <w:numPr>
                <w:ilvl w:val="1"/>
                <w:numId w:val="0"/>
              </w:numPr>
              <w:spacing w:before="60" w:after="60"/>
              <w:ind w:firstLineChars="200" w:firstLine="480"/>
              <w:rPr>
                <w:rFonts w:ascii="宋体" w:hAnsi="宋体" w:hint="eastAsia"/>
                <w:sz w:val="24"/>
              </w:rPr>
            </w:pPr>
          </w:p>
        </w:tc>
      </w:tr>
      <w:tr w:rsidR="00FA5FC9" w14:paraId="39E81828" w14:textId="77777777">
        <w:trPr>
          <w:trHeight w:val="317"/>
          <w:jc w:val="center"/>
        </w:trPr>
        <w:tc>
          <w:tcPr>
            <w:tcW w:w="1736" w:type="dxa"/>
            <w:tcBorders>
              <w:top w:val="single" w:sz="4" w:space="0" w:color="000000"/>
              <w:left w:val="single" w:sz="4" w:space="0" w:color="000000"/>
              <w:bottom w:val="single" w:sz="4" w:space="0" w:color="000000"/>
              <w:right w:val="single" w:sz="4" w:space="0" w:color="000000"/>
            </w:tcBorders>
            <w:vAlign w:val="center"/>
          </w:tcPr>
          <w:p w14:paraId="181CA23F" w14:textId="77777777" w:rsidR="00FA5FC9" w:rsidRDefault="00000000">
            <w:pPr>
              <w:pStyle w:val="af2"/>
              <w:numPr>
                <w:ilvl w:val="1"/>
                <w:numId w:val="0"/>
              </w:numPr>
              <w:spacing w:before="60" w:after="60"/>
              <w:ind w:firstLineChars="200" w:firstLine="480"/>
              <w:rPr>
                <w:rFonts w:ascii="宋体" w:hAnsi="宋体" w:hint="eastAsia"/>
                <w:sz w:val="24"/>
              </w:rPr>
            </w:pPr>
            <w:bookmarkStart w:id="42" w:name="_Toc58606741"/>
            <w:bookmarkStart w:id="43" w:name="_Toc58602295"/>
            <w:r>
              <w:rPr>
                <w:rFonts w:ascii="宋体" w:hAnsi="宋体" w:hint="eastAsia"/>
                <w:sz w:val="24"/>
              </w:rPr>
              <w:t>总膜厚</w:t>
            </w:r>
            <w:bookmarkEnd w:id="42"/>
            <w:bookmarkEnd w:id="43"/>
          </w:p>
        </w:tc>
        <w:tc>
          <w:tcPr>
            <w:tcW w:w="2631" w:type="dxa"/>
            <w:tcBorders>
              <w:top w:val="single" w:sz="4" w:space="0" w:color="000000"/>
              <w:bottom w:val="single" w:sz="4" w:space="0" w:color="000000"/>
              <w:right w:val="single" w:sz="4" w:space="0" w:color="000000"/>
            </w:tcBorders>
            <w:vAlign w:val="center"/>
          </w:tcPr>
          <w:p w14:paraId="1D88F73F" w14:textId="77777777" w:rsidR="00FA5FC9" w:rsidRDefault="00FA5FC9">
            <w:pPr>
              <w:pStyle w:val="af2"/>
              <w:numPr>
                <w:ilvl w:val="1"/>
                <w:numId w:val="0"/>
              </w:numPr>
              <w:spacing w:before="60" w:after="60"/>
              <w:ind w:firstLineChars="200" w:firstLine="480"/>
              <w:rPr>
                <w:rFonts w:ascii="宋体" w:hAnsi="宋体" w:hint="eastAsia"/>
                <w:sz w:val="24"/>
              </w:rPr>
            </w:pPr>
          </w:p>
        </w:tc>
        <w:tc>
          <w:tcPr>
            <w:tcW w:w="2490" w:type="dxa"/>
            <w:tcBorders>
              <w:top w:val="single" w:sz="4" w:space="0" w:color="000000"/>
              <w:bottom w:val="single" w:sz="4" w:space="0" w:color="000000"/>
              <w:right w:val="single" w:sz="4" w:space="0" w:color="000000"/>
            </w:tcBorders>
            <w:vAlign w:val="center"/>
          </w:tcPr>
          <w:p w14:paraId="2A81F3BF" w14:textId="77777777" w:rsidR="00FA5FC9" w:rsidRDefault="00000000">
            <w:pPr>
              <w:pStyle w:val="af2"/>
              <w:numPr>
                <w:ilvl w:val="1"/>
                <w:numId w:val="0"/>
              </w:numPr>
              <w:spacing w:before="60" w:after="60"/>
              <w:ind w:firstLineChars="200" w:firstLine="480"/>
              <w:rPr>
                <w:rFonts w:ascii="宋体" w:hAnsi="宋体" w:hint="eastAsia"/>
                <w:sz w:val="24"/>
              </w:rPr>
            </w:pPr>
            <w:bookmarkStart w:id="44" w:name="_Toc58602296"/>
            <w:bookmarkStart w:id="45" w:name="_Toc58606742"/>
            <w:r>
              <w:rPr>
                <w:rFonts w:ascii="宋体" w:hAnsi="宋体" w:hint="eastAsia"/>
                <w:sz w:val="24"/>
              </w:rPr>
              <w:t>150</w:t>
            </w:r>
            <w:bookmarkEnd w:id="44"/>
            <w:bookmarkEnd w:id="45"/>
          </w:p>
        </w:tc>
        <w:tc>
          <w:tcPr>
            <w:tcW w:w="1738" w:type="dxa"/>
            <w:vMerge/>
            <w:tcBorders>
              <w:bottom w:val="single" w:sz="4" w:space="0" w:color="000000"/>
              <w:right w:val="single" w:sz="4" w:space="0" w:color="000000"/>
            </w:tcBorders>
            <w:vAlign w:val="center"/>
          </w:tcPr>
          <w:p w14:paraId="5670A148" w14:textId="77777777" w:rsidR="00FA5FC9" w:rsidRDefault="00FA5FC9">
            <w:pPr>
              <w:pStyle w:val="af2"/>
              <w:numPr>
                <w:ilvl w:val="1"/>
                <w:numId w:val="0"/>
              </w:numPr>
              <w:spacing w:before="60" w:after="60"/>
              <w:ind w:firstLineChars="200" w:firstLine="480"/>
              <w:rPr>
                <w:rFonts w:ascii="宋体" w:hAnsi="宋体" w:hint="eastAsia"/>
                <w:sz w:val="24"/>
              </w:rPr>
            </w:pPr>
          </w:p>
        </w:tc>
      </w:tr>
    </w:tbl>
    <w:p w14:paraId="17F37792" w14:textId="77777777" w:rsidR="00FA5FC9" w:rsidRDefault="00000000">
      <w:pPr>
        <w:pStyle w:val="af2"/>
        <w:numPr>
          <w:ilvl w:val="1"/>
          <w:numId w:val="0"/>
        </w:numPr>
        <w:spacing w:before="60" w:after="60" w:line="480" w:lineRule="auto"/>
        <w:ind w:firstLineChars="200" w:firstLine="480"/>
        <w:rPr>
          <w:rFonts w:ascii="宋体" w:hAnsi="宋体" w:hint="eastAsia"/>
          <w:sz w:val="24"/>
        </w:rPr>
      </w:pPr>
      <w:r>
        <w:rPr>
          <w:rFonts w:ascii="宋体" w:hAnsi="宋体" w:hint="eastAsia"/>
          <w:sz w:val="24"/>
        </w:rPr>
        <w:t>底漆、中间漆和面漆应当采用不同颜色， 每一层都应有足够的对比度,以便鉴定是否全部覆盖。</w:t>
      </w:r>
    </w:p>
    <w:p w14:paraId="723EE8FD" w14:textId="77777777" w:rsidR="00FA5FC9" w:rsidRDefault="00000000">
      <w:pPr>
        <w:pStyle w:val="af2"/>
        <w:numPr>
          <w:ilvl w:val="1"/>
          <w:numId w:val="0"/>
        </w:numPr>
        <w:spacing w:before="60" w:after="60" w:line="480" w:lineRule="auto"/>
        <w:ind w:firstLineChars="200" w:firstLine="480"/>
        <w:rPr>
          <w:rFonts w:ascii="宋体" w:hAnsi="宋体" w:hint="eastAsia"/>
          <w:sz w:val="24"/>
        </w:rPr>
      </w:pPr>
      <w:r>
        <w:rPr>
          <w:rFonts w:ascii="宋体" w:hAnsi="宋体" w:hint="eastAsia"/>
          <w:sz w:val="24"/>
        </w:rPr>
        <w:t>机面漆颜色由甲方确定。安装后所有钢结构表面补涂漆由乙方提供。</w:t>
      </w:r>
    </w:p>
    <w:p w14:paraId="727D20A7" w14:textId="77777777" w:rsidR="00FA5FC9" w:rsidRDefault="00000000">
      <w:pPr>
        <w:pStyle w:val="af2"/>
        <w:numPr>
          <w:ilvl w:val="1"/>
          <w:numId w:val="0"/>
        </w:numPr>
        <w:spacing w:before="60" w:after="60" w:line="480" w:lineRule="auto"/>
        <w:ind w:firstLineChars="200" w:firstLine="480"/>
        <w:rPr>
          <w:rFonts w:ascii="宋体" w:hAnsi="宋体" w:hint="eastAsia"/>
          <w:sz w:val="24"/>
        </w:rPr>
      </w:pPr>
      <w:r>
        <w:rPr>
          <w:rFonts w:ascii="宋体" w:hAnsi="宋体" w:hint="eastAsia"/>
          <w:sz w:val="24"/>
        </w:rPr>
        <w:t>涂装的颜色（色卡）由甲方提供。</w:t>
      </w:r>
    </w:p>
    <w:p w14:paraId="455A927D" w14:textId="77777777" w:rsidR="00FA5FC9" w:rsidRDefault="00000000">
      <w:pPr>
        <w:pStyle w:val="af2"/>
        <w:numPr>
          <w:ilvl w:val="1"/>
          <w:numId w:val="0"/>
        </w:numPr>
        <w:spacing w:before="60" w:after="60" w:line="480" w:lineRule="auto"/>
        <w:ind w:firstLineChars="200" w:firstLine="480"/>
        <w:rPr>
          <w:rFonts w:ascii="宋体" w:hAnsi="宋体" w:hint="eastAsia"/>
          <w:sz w:val="24"/>
        </w:rPr>
      </w:pPr>
      <w:r>
        <w:rPr>
          <w:rFonts w:ascii="宋体" w:hAnsi="宋体" w:hint="eastAsia"/>
          <w:sz w:val="24"/>
        </w:rPr>
        <w:t>3）涂装前对物件表面的要求</w:t>
      </w:r>
    </w:p>
    <w:p w14:paraId="3EB2ADEF"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所有设备、配套件及管路在涂漆前必须进行合格的表面处理，表面处理不良会使油漆失效。油漆涂装作业前必须清除基材表面污物、浮锈、松动的氧化皮及锈蚀物，保持清洁干燥、无露水、无尘、无油污，尽可能为油漆提供一个清洁完</w:t>
      </w:r>
      <w:r>
        <w:rPr>
          <w:rFonts w:ascii="宋体" w:hAnsi="宋体" w:hint="eastAsia"/>
          <w:sz w:val="24"/>
        </w:rPr>
        <w:lastRenderedPageBreak/>
        <w:t>好的表面。可参照《涂装通用技术条件》</w:t>
      </w:r>
      <w:r>
        <w:rPr>
          <w:rFonts w:ascii="宋体" w:hAnsi="宋体" w:cs="宋体"/>
          <w:sz w:val="24"/>
        </w:rPr>
        <w:t>GB/T 37400.12-2019</w:t>
      </w:r>
      <w:r>
        <w:rPr>
          <w:rFonts w:ascii="宋体" w:hAnsi="宋体" w:hint="eastAsia"/>
          <w:sz w:val="24"/>
        </w:rPr>
        <w:t>或详细咨询油漆供货厂家。</w:t>
      </w:r>
    </w:p>
    <w:p w14:paraId="67C79292"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4）检查项目及方法</w:t>
      </w:r>
    </w:p>
    <w:p w14:paraId="6E4EE8B1"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按</w:t>
      </w:r>
      <w:r>
        <w:rPr>
          <w:rFonts w:ascii="宋体" w:hAnsi="宋体" w:cs="宋体"/>
          <w:sz w:val="24"/>
        </w:rPr>
        <w:t>GB/T 37400.12-2019</w:t>
      </w:r>
      <w:r>
        <w:rPr>
          <w:rFonts w:ascii="宋体" w:hAnsi="宋体" w:hint="eastAsia"/>
          <w:sz w:val="24"/>
        </w:rPr>
        <w:t>或油漆供货厂家的《使用说明书》执行。</w:t>
      </w:r>
    </w:p>
    <w:p w14:paraId="6441BF97"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5）.未涂漆的所有外露加工面必须有防锈措施—涂沥青漆，所有配合面涂防锈油并包装保护。</w:t>
      </w:r>
    </w:p>
    <w:p w14:paraId="495FF645"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6）.基材处理</w:t>
      </w:r>
    </w:p>
    <w:p w14:paraId="01779CEC"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去除基材表面的浮锈、松动的氧化皮，保持清洁、无尘、无油，使涂料接触真正的钢铁表面。</w:t>
      </w:r>
    </w:p>
    <w:p w14:paraId="64CBB3C4"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注：若本附件与其他标准有冲突时，按两者之间更高标准执行。若业主有特殊要求按业主技术协议执行。</w:t>
      </w:r>
    </w:p>
    <w:p w14:paraId="75BC6295" w14:textId="77777777" w:rsidR="00FA5FC9" w:rsidRDefault="00000000">
      <w:pPr>
        <w:pStyle w:val="1"/>
        <w:spacing w:beforeLines="50" w:before="156" w:afterLines="50" w:after="156" w:line="360" w:lineRule="auto"/>
        <w:ind w:left="369" w:hanging="369"/>
        <w:rPr>
          <w:rFonts w:ascii="Times New Roman" w:eastAsia="宋体" w:hAnsi="Times New Roman" w:cs="宋体"/>
          <w:b/>
          <w:color w:val="auto"/>
          <w:sz w:val="28"/>
          <w:szCs w:val="28"/>
        </w:rPr>
      </w:pPr>
      <w:bookmarkStart w:id="46" w:name="_Toc14583"/>
      <w:bookmarkEnd w:id="8"/>
      <w:r>
        <w:rPr>
          <w:rFonts w:ascii="Times New Roman" w:eastAsia="宋体" w:hAnsi="Times New Roman" w:cs="宋体" w:hint="eastAsia"/>
          <w:b/>
          <w:color w:val="auto"/>
          <w:sz w:val="28"/>
          <w:szCs w:val="28"/>
        </w:rPr>
        <w:t>8.</w:t>
      </w:r>
      <w:r>
        <w:rPr>
          <w:rFonts w:ascii="Times New Roman" w:eastAsia="宋体" w:hAnsi="Times New Roman" w:cs="宋体" w:hint="eastAsia"/>
          <w:b/>
          <w:color w:val="auto"/>
          <w:sz w:val="28"/>
          <w:szCs w:val="28"/>
        </w:rPr>
        <w:t>售后服务</w:t>
      </w:r>
      <w:bookmarkEnd w:id="46"/>
    </w:p>
    <w:p w14:paraId="571EE783"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8.1投标方积极配合招标方进行方案论证和设计，在签定合同3日内提供有关技术资料和数据分析，做好售前服务。</w:t>
      </w:r>
    </w:p>
    <w:p w14:paraId="57A47051"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8.2投标方的责任包括从合同设备及其配套件的制造到整台套设备的交付使用，在设备生产护航期间，都应能够派专业技术人员到招标方指定的现场进行指导。</w:t>
      </w:r>
    </w:p>
    <w:p w14:paraId="5A75CA8F"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8.3投标方应保证货物在进行安装、调试和试运行等过程中损坏的或有缺陷的零、部件能及时、方便地得到修理或更换。</w:t>
      </w:r>
    </w:p>
    <w:p w14:paraId="73E8C8CE"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8.4货物使用期间，凡发生质量问题，投标方均能够及时地提供技术服务。在质量保证期内，招标方或业主发出通知后，对由于投标方制造所产生的问题，投标方应提供维修服务，免费修理或免费更换不合格的零、部件，以保证设备正常运行。</w:t>
      </w:r>
    </w:p>
    <w:p w14:paraId="446C8684"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8.5供货范围内的设备质量在保证期内，投标方将无偿处理供货设备的技术或质量问题。投标方设计和制造质量的问题，由投标方无偿修理或更换零部件，保证正常运行。</w:t>
      </w:r>
    </w:p>
    <w:p w14:paraId="12713D37"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8.6在质量保证期满后，投标方有义务配合招标方进行设备的检修与维护指导，以做到在设备使用的整个期间内安全运行。</w:t>
      </w:r>
    </w:p>
    <w:p w14:paraId="1D46107E"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lastRenderedPageBreak/>
        <w:t>8.7培训服务</w:t>
      </w:r>
    </w:p>
    <w:p w14:paraId="23F37D61"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投标方对所供设备提供全生命周期的服务，按合同规定进行产品制造、安装调试指导、验收、取证（如有）期间的技术服务项目。合同中所供设备在招标方现场安装调试期间，投标方将依据现场安装调试的进度安排，委派有经验的专业人员进行技术服务，提高工作效率，缩短工期。指导招标方技术人员监督和检验设备的制造、安装的质量以及设备的性能试验。</w:t>
      </w:r>
    </w:p>
    <w:p w14:paraId="4F1DB047"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在安装调试期间，投标方委派有经验的工程师、技师对业主方人员进行培训。</w:t>
      </w:r>
    </w:p>
    <w:p w14:paraId="41007CEB"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8.8投标方培训后招标主或业主方方人员能独立做到以下几点：</w:t>
      </w:r>
    </w:p>
    <w:p w14:paraId="4AC51724"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熟悉和掌握合同设备结构、原理、性能，能独立判断设备故障点及形成原因，并能组织处理。</w:t>
      </w:r>
    </w:p>
    <w:p w14:paraId="06159CC5"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熟悉并独立担当区域内本设备专业点检作业，能独立指导岗位操作人员正确使用设备和岗位操作点检。</w:t>
      </w:r>
    </w:p>
    <w:p w14:paraId="062BD922"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熟知本设备的使用、维护、检修规程和安全规范，能指导设备检修人员作业并试车、验收。</w:t>
      </w:r>
    </w:p>
    <w:p w14:paraId="5B359D3B"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8.9设备投入运行后，投标方承诺提供长期的技术支持。</w:t>
      </w:r>
    </w:p>
    <w:p w14:paraId="32DDBCE5"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8.10投标方对招标方发现设备质量问题的来电或来函，做出承诺：保证24小时内给予答复，48小时内赶赴现场解决问题。</w:t>
      </w:r>
    </w:p>
    <w:p w14:paraId="7FA47C92" w14:textId="77777777" w:rsidR="00FA5FC9" w:rsidRDefault="00000000">
      <w:pPr>
        <w:pStyle w:val="1"/>
        <w:spacing w:beforeLines="50" w:before="156" w:afterLines="50" w:after="156" w:line="360" w:lineRule="auto"/>
        <w:ind w:left="369" w:hanging="369"/>
        <w:rPr>
          <w:rFonts w:ascii="Times New Roman" w:eastAsia="宋体" w:hAnsi="Times New Roman" w:cs="宋体"/>
          <w:b/>
          <w:color w:val="auto"/>
          <w:sz w:val="28"/>
          <w:szCs w:val="28"/>
        </w:rPr>
      </w:pPr>
      <w:bookmarkStart w:id="47" w:name="_Toc11389"/>
      <w:r>
        <w:rPr>
          <w:rFonts w:ascii="Times New Roman" w:eastAsia="宋体" w:hAnsi="Times New Roman" w:cs="宋体" w:hint="eastAsia"/>
          <w:b/>
          <w:color w:val="auto"/>
          <w:sz w:val="28"/>
          <w:szCs w:val="28"/>
        </w:rPr>
        <w:t>9.</w:t>
      </w:r>
      <w:r>
        <w:rPr>
          <w:rFonts w:ascii="Times New Roman" w:eastAsia="宋体" w:hAnsi="Times New Roman" w:cs="宋体" w:hint="eastAsia"/>
          <w:b/>
          <w:color w:val="auto"/>
          <w:sz w:val="28"/>
          <w:szCs w:val="28"/>
        </w:rPr>
        <w:t>资料交付与确认</w:t>
      </w:r>
      <w:bookmarkEnd w:id="47"/>
    </w:p>
    <w:p w14:paraId="644BF602"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9.1技术协议签订后的3天内，投标方提供以下资料书面资料：</w:t>
      </w:r>
    </w:p>
    <w:p w14:paraId="51298610"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包含供货范围内全部内容的设备总装图，图纸应能清除表达合同设备的外形、接口等信息；</w:t>
      </w:r>
    </w:p>
    <w:p w14:paraId="4108FDC3"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设备基础图；</w:t>
      </w:r>
    </w:p>
    <w:p w14:paraId="10FBF58A"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能源介质需求资料；</w:t>
      </w:r>
    </w:p>
    <w:p w14:paraId="2D075E7D"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电气原理图、接线图。</w:t>
      </w:r>
    </w:p>
    <w:p w14:paraId="0EC0B376"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9.2以上资料待招标方确认后方可进行合同设备的生产制造。</w:t>
      </w:r>
    </w:p>
    <w:p w14:paraId="11B16560"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9.3投标方在发货时向招标方提供以下资料：</w:t>
      </w:r>
    </w:p>
    <w:p w14:paraId="5D8ACD7E"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1）设备安装图。</w:t>
      </w:r>
    </w:p>
    <w:p w14:paraId="30FA4EC4"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装箱单、设备安装、运行使用、安全维护说明书；</w:t>
      </w:r>
    </w:p>
    <w:p w14:paraId="0DAC6F93"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lastRenderedPageBreak/>
        <w:t>出厂检验报告、整机合格证、外购件合格证；</w:t>
      </w:r>
    </w:p>
    <w:p w14:paraId="2B4120FD"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质量检验报告包括：产品质量文件，如材质、材质检验、精度检验、外形尺寸和力学性能检验、超声波探伤和表面磁粉探伤报告等的证明；</w:t>
      </w:r>
    </w:p>
    <w:p w14:paraId="7C9B416E"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主要进口设备(如有)提供设备的原产地证明。</w:t>
      </w:r>
    </w:p>
    <w:p w14:paraId="6B2A09A7"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注：所提供的图纸、资料必须是有效的。投标方保证所交付的技术资料清晰、完整和正确，并能满足招标方正确地进行安装、试车、考核、正常生产和设备维修等工作的需要。</w:t>
      </w:r>
    </w:p>
    <w:p w14:paraId="46C12CB3"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以上提供的最终文件、资料如有更改，投标方应及时向招标方提供书面变更说明。</w:t>
      </w:r>
    </w:p>
    <w:p w14:paraId="7BDCB18E"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9.4投标方需</w:t>
      </w:r>
      <w:r>
        <w:rPr>
          <w:rFonts w:ascii="宋体" w:hAnsi="宋体" w:cs="宋体" w:hint="eastAsia"/>
          <w:sz w:val="24"/>
        </w:rPr>
        <w:t>提供易损件清单、备件清单(阀门、电机叶轮、轴承等内部易损件等国标件及报价)（需标明：厂家、型号等重要信息）</w:t>
      </w:r>
    </w:p>
    <w:p w14:paraId="5C948F51" w14:textId="77777777" w:rsidR="00FA5FC9" w:rsidRDefault="00000000">
      <w:pPr>
        <w:pStyle w:val="1"/>
        <w:spacing w:beforeLines="50" w:before="156" w:afterLines="50" w:after="156" w:line="360" w:lineRule="auto"/>
        <w:ind w:left="369" w:hanging="369"/>
        <w:rPr>
          <w:rFonts w:ascii="Times New Roman" w:eastAsia="宋体" w:hAnsi="Times New Roman" w:cs="宋体"/>
          <w:b/>
          <w:color w:val="auto"/>
          <w:sz w:val="28"/>
          <w:szCs w:val="28"/>
        </w:rPr>
      </w:pPr>
      <w:bookmarkStart w:id="48" w:name="_Toc17611"/>
      <w:r>
        <w:rPr>
          <w:rFonts w:ascii="Times New Roman" w:eastAsia="宋体" w:hAnsi="Times New Roman" w:cs="宋体" w:hint="eastAsia"/>
          <w:b/>
          <w:color w:val="auto"/>
          <w:sz w:val="28"/>
          <w:szCs w:val="28"/>
        </w:rPr>
        <w:t>10.</w:t>
      </w:r>
      <w:r>
        <w:rPr>
          <w:rFonts w:ascii="Times New Roman" w:eastAsia="宋体" w:hAnsi="Times New Roman" w:cs="宋体" w:hint="eastAsia"/>
          <w:b/>
          <w:color w:val="auto"/>
          <w:sz w:val="28"/>
          <w:szCs w:val="28"/>
        </w:rPr>
        <w:t>其他要求</w:t>
      </w:r>
      <w:bookmarkEnd w:id="48"/>
    </w:p>
    <w:p w14:paraId="4A4B04A5"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10.1招标、投标双方相互之间的资料交接及需协商的有关事宜，均应以书面形式进行。</w:t>
      </w:r>
    </w:p>
    <w:p w14:paraId="3AFE0F33"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10.2投标方保证按照招标投标双方商定的交货期按时交货，无故延期，投标方须赔偿因延期交货而给招标方造成的损失。</w:t>
      </w:r>
    </w:p>
    <w:p w14:paraId="3F99E886"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10.3投标方严格按照合同协议有关条款合理安排设计、生产，保证设备保质、保量、如期交货，并对所提供的设备质量负责。</w:t>
      </w:r>
    </w:p>
    <w:p w14:paraId="0E7A4416" w14:textId="77777777" w:rsidR="00FA5FC9" w:rsidRDefault="00000000">
      <w:pPr>
        <w:pStyle w:val="af2"/>
        <w:numPr>
          <w:ilvl w:val="1"/>
          <w:numId w:val="0"/>
        </w:numPr>
        <w:spacing w:before="60" w:after="60" w:line="360" w:lineRule="auto"/>
        <w:ind w:firstLineChars="200" w:firstLine="480"/>
        <w:rPr>
          <w:rFonts w:ascii="宋体" w:hAnsi="宋体" w:hint="eastAsia"/>
          <w:sz w:val="24"/>
        </w:rPr>
      </w:pPr>
      <w:r>
        <w:rPr>
          <w:rFonts w:ascii="宋体" w:hAnsi="宋体" w:hint="eastAsia"/>
          <w:sz w:val="24"/>
        </w:rPr>
        <w:t>10.4未尽事宜，双方友好协商解决。</w:t>
      </w:r>
    </w:p>
    <w:p w14:paraId="0392A696" w14:textId="77777777" w:rsidR="00FA5FC9" w:rsidRDefault="00FA5FC9"/>
    <w:sectPr w:rsidR="00FA5FC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BB80D" w14:textId="77777777" w:rsidR="00D5679D" w:rsidRDefault="00D5679D">
      <w:r>
        <w:separator/>
      </w:r>
    </w:p>
  </w:endnote>
  <w:endnote w:type="continuationSeparator" w:id="0">
    <w:p w14:paraId="1B3CAE3C" w14:textId="77777777" w:rsidR="00D5679D" w:rsidRDefault="00D56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FB8FF" w14:textId="77777777" w:rsidR="00D5679D" w:rsidRDefault="00D5679D">
      <w:r>
        <w:separator/>
      </w:r>
    </w:p>
  </w:footnote>
  <w:footnote w:type="continuationSeparator" w:id="0">
    <w:p w14:paraId="078E4C45" w14:textId="77777777" w:rsidR="00D5679D" w:rsidRDefault="00D567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3336DC"/>
    <w:multiLevelType w:val="multilevel"/>
    <w:tmpl w:val="773336DC"/>
    <w:lvl w:ilvl="0">
      <w:start w:val="1"/>
      <w:numFmt w:val="lowerLetter"/>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16cid:durableId="851838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87D"/>
    <w:rsid w:val="000B4161"/>
    <w:rsid w:val="001606EB"/>
    <w:rsid w:val="00181401"/>
    <w:rsid w:val="003D3045"/>
    <w:rsid w:val="0042687D"/>
    <w:rsid w:val="0045369F"/>
    <w:rsid w:val="0055648F"/>
    <w:rsid w:val="006E0263"/>
    <w:rsid w:val="00821ED1"/>
    <w:rsid w:val="009D0407"/>
    <w:rsid w:val="00B06B37"/>
    <w:rsid w:val="00CF76BA"/>
    <w:rsid w:val="00D5679D"/>
    <w:rsid w:val="00D74D3B"/>
    <w:rsid w:val="00DF443C"/>
    <w:rsid w:val="00EB5954"/>
    <w:rsid w:val="00EF2247"/>
    <w:rsid w:val="00F11DA4"/>
    <w:rsid w:val="00F518F2"/>
    <w:rsid w:val="00F770EA"/>
    <w:rsid w:val="00FA5FC9"/>
    <w:rsid w:val="13D76209"/>
    <w:rsid w:val="140C08BF"/>
    <w:rsid w:val="1F8103A8"/>
    <w:rsid w:val="2C46226B"/>
    <w:rsid w:val="361E6007"/>
    <w:rsid w:val="4806148B"/>
    <w:rsid w:val="50243DC2"/>
    <w:rsid w:val="52E16A43"/>
    <w:rsid w:val="540208BE"/>
    <w:rsid w:val="59F43024"/>
    <w:rsid w:val="5C33720F"/>
    <w:rsid w:val="61AC677C"/>
    <w:rsid w:val="6813679E"/>
    <w:rsid w:val="70F03058"/>
    <w:rsid w:val="7D9B25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B31245"/>
  <w15:docId w15:val="{B4D19A8A-6759-4A7C-8A60-DEB29ACF8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420"/>
    </w:pPr>
  </w:style>
  <w:style w:type="paragraph" w:styleId="a4">
    <w:name w:val="footer"/>
    <w:basedOn w:val="a"/>
    <w:link w:val="a5"/>
    <w:uiPriority w:val="99"/>
    <w:unhideWhenUsed/>
    <w:qFormat/>
    <w:pPr>
      <w:tabs>
        <w:tab w:val="center" w:pos="4153"/>
        <w:tab w:val="right" w:pos="8306"/>
      </w:tabs>
      <w:snapToGrid w:val="0"/>
    </w:pPr>
    <w:rPr>
      <w:sz w:val="18"/>
      <w:szCs w:val="18"/>
    </w:rPr>
  </w:style>
  <w:style w:type="paragraph" w:styleId="a6">
    <w:name w:val="header"/>
    <w:basedOn w:val="a"/>
    <w:link w:val="a7"/>
    <w:uiPriority w:val="99"/>
    <w:unhideWhenUsed/>
    <w:qFormat/>
    <w:pPr>
      <w:tabs>
        <w:tab w:val="center" w:pos="4153"/>
        <w:tab w:val="right" w:pos="8306"/>
      </w:tabs>
      <w:snapToGrid w:val="0"/>
      <w:jc w:val="center"/>
    </w:pPr>
    <w:rPr>
      <w:sz w:val="18"/>
      <w:szCs w:val="18"/>
    </w:rPr>
  </w:style>
  <w:style w:type="paragraph" w:styleId="a8">
    <w:name w:val="Subtitle"/>
    <w:basedOn w:val="a"/>
    <w:next w:val="a"/>
    <w:link w:val="a9"/>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a">
    <w:name w:val="Normal (Web)"/>
    <w:basedOn w:val="a"/>
    <w:uiPriority w:val="99"/>
    <w:semiHidden/>
    <w:unhideWhenUsed/>
    <w:qFormat/>
    <w:rPr>
      <w:sz w:val="24"/>
    </w:rPr>
  </w:style>
  <w:style w:type="paragraph" w:styleId="ab">
    <w:name w:val="Title"/>
    <w:basedOn w:val="a"/>
    <w:next w:val="a"/>
    <w:link w:val="ac"/>
    <w:uiPriority w:val="10"/>
    <w:qFormat/>
    <w:pPr>
      <w:spacing w:after="80"/>
      <w:contextualSpacing/>
      <w:jc w:val="center"/>
    </w:pPr>
    <w:rPr>
      <w:rFonts w:asciiTheme="majorHAnsi" w:eastAsiaTheme="majorEastAsia" w:hAnsiTheme="majorHAnsi" w:cstheme="majorBidi"/>
      <w:spacing w:val="-10"/>
      <w:kern w:val="28"/>
      <w:sz w:val="56"/>
      <w:szCs w:val="56"/>
    </w:rPr>
  </w:style>
  <w:style w:type="table" w:styleId="ad">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basedOn w:val="a0"/>
    <w:uiPriority w:val="22"/>
    <w:qFormat/>
    <w:rPr>
      <w:b/>
    </w:rPr>
  </w:style>
  <w:style w:type="character" w:styleId="af">
    <w:name w:val="Hyperlink"/>
    <w:uiPriority w:val="99"/>
    <w:qFormat/>
    <w:rPr>
      <w:color w:val="0000FF"/>
      <w:u w:val="single"/>
    </w:rPr>
  </w:style>
  <w:style w:type="character" w:customStyle="1" w:styleId="10">
    <w:name w:val="标题 1 字符"/>
    <w:basedOn w:val="a0"/>
    <w:link w:val="1"/>
    <w:uiPriority w:val="9"/>
    <w:qFormat/>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qFormat/>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qFormat/>
    <w:rPr>
      <w:rFonts w:cstheme="majorBidi"/>
      <w:color w:val="0F4761" w:themeColor="accent1" w:themeShade="BF"/>
      <w:sz w:val="28"/>
      <w:szCs w:val="28"/>
    </w:rPr>
  </w:style>
  <w:style w:type="character" w:customStyle="1" w:styleId="50">
    <w:name w:val="标题 5 字符"/>
    <w:basedOn w:val="a0"/>
    <w:link w:val="5"/>
    <w:uiPriority w:val="9"/>
    <w:semiHidden/>
    <w:qFormat/>
    <w:rPr>
      <w:rFonts w:cstheme="majorBidi"/>
      <w:color w:val="0F4761" w:themeColor="accent1" w:themeShade="BF"/>
      <w:sz w:val="24"/>
    </w:rPr>
  </w:style>
  <w:style w:type="character" w:customStyle="1" w:styleId="60">
    <w:name w:val="标题 6 字符"/>
    <w:basedOn w:val="a0"/>
    <w:link w:val="6"/>
    <w:uiPriority w:val="9"/>
    <w:semiHidden/>
    <w:qFormat/>
    <w:rPr>
      <w:rFonts w:cstheme="majorBidi"/>
      <w:b/>
      <w:bCs/>
      <w:color w:val="0F4761"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c">
    <w:name w:val="标题 字符"/>
    <w:basedOn w:val="a0"/>
    <w:link w:val="ab"/>
    <w:uiPriority w:val="10"/>
    <w:qFormat/>
    <w:rPr>
      <w:rFonts w:asciiTheme="majorHAnsi" w:eastAsiaTheme="majorEastAsia" w:hAnsiTheme="majorHAnsi" w:cstheme="majorBidi"/>
      <w:spacing w:val="-10"/>
      <w:kern w:val="28"/>
      <w:sz w:val="56"/>
      <w:szCs w:val="56"/>
    </w:rPr>
  </w:style>
  <w:style w:type="character" w:customStyle="1" w:styleId="a9">
    <w:name w:val="副标题 字符"/>
    <w:basedOn w:val="a0"/>
    <w:link w:val="a8"/>
    <w:uiPriority w:val="11"/>
    <w:qFormat/>
    <w:rPr>
      <w:rFonts w:asciiTheme="majorHAnsi" w:eastAsiaTheme="majorEastAsia" w:hAnsiTheme="majorHAnsi" w:cstheme="majorBidi"/>
      <w:color w:val="595959" w:themeColor="text1" w:themeTint="A6"/>
      <w:spacing w:val="15"/>
      <w:sz w:val="28"/>
      <w:szCs w:val="28"/>
    </w:rPr>
  </w:style>
  <w:style w:type="paragraph" w:styleId="af0">
    <w:name w:val="Quote"/>
    <w:basedOn w:val="a"/>
    <w:next w:val="a"/>
    <w:link w:val="af1"/>
    <w:uiPriority w:val="29"/>
    <w:qFormat/>
    <w:pPr>
      <w:spacing w:before="160"/>
      <w:jc w:val="center"/>
    </w:pPr>
    <w:rPr>
      <w:i/>
      <w:iCs/>
      <w:color w:val="404040" w:themeColor="text1" w:themeTint="BF"/>
    </w:rPr>
  </w:style>
  <w:style w:type="character" w:customStyle="1" w:styleId="af1">
    <w:name w:val="引用 字符"/>
    <w:basedOn w:val="a0"/>
    <w:link w:val="af0"/>
    <w:uiPriority w:val="29"/>
    <w:qFormat/>
    <w:rPr>
      <w:i/>
      <w:iCs/>
      <w:color w:val="404040" w:themeColor="text1" w:themeTint="BF"/>
    </w:rPr>
  </w:style>
  <w:style w:type="paragraph" w:styleId="af2">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f3">
    <w:name w:val="Intense Quote"/>
    <w:basedOn w:val="a"/>
    <w:next w:val="a"/>
    <w:link w:val="af4"/>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4">
    <w:name w:val="明显引用 字符"/>
    <w:basedOn w:val="a0"/>
    <w:link w:val="af3"/>
    <w:uiPriority w:val="30"/>
    <w:qFormat/>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a7">
    <w:name w:val="页眉 字符"/>
    <w:basedOn w:val="a0"/>
    <w:link w:val="a6"/>
    <w:uiPriority w:val="99"/>
    <w:qFormat/>
    <w:rPr>
      <w:sz w:val="18"/>
      <w:szCs w:val="18"/>
    </w:rPr>
  </w:style>
  <w:style w:type="character" w:customStyle="1" w:styleId="a5">
    <w:name w:val="页脚 字符"/>
    <w:basedOn w:val="a0"/>
    <w:link w:val="a4"/>
    <w:uiPriority w:val="99"/>
    <w:qFormat/>
    <w:rPr>
      <w:sz w:val="18"/>
      <w:szCs w:val="18"/>
    </w:rPr>
  </w:style>
  <w:style w:type="paragraph" w:customStyle="1" w:styleId="13">
    <w:name w:val="正文1"/>
    <w:basedOn w:val="a"/>
    <w:autoRedefine/>
    <w:qFormat/>
    <w:pPr>
      <w:adjustRightInd w:val="0"/>
      <w:ind w:firstLineChars="200" w:firstLine="480"/>
      <w:jc w:val="left"/>
      <w:textAlignment w:val="baseline"/>
    </w:pPr>
    <w:rPr>
      <w:rFonts w:ascii="微软雅黑" w:eastAsia="微软雅黑" w:hAnsi="微软雅黑" w:cs="Arial"/>
      <w:bCs/>
      <w:kern w:val="44"/>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3465</Words>
  <Characters>3848</Characters>
  <Application>Microsoft Office Word</Application>
  <DocSecurity>0</DocSecurity>
  <Lines>213</Lines>
  <Paragraphs>235</Paragraphs>
  <ScaleCrop>false</ScaleCrop>
  <Company/>
  <LinksUpToDate>false</LinksUpToDate>
  <CharactersWithSpaces>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A4094</dc:creator>
  <cp:lastModifiedBy>A4094</cp:lastModifiedBy>
  <cp:revision>5</cp:revision>
  <dcterms:created xsi:type="dcterms:W3CDTF">2026-03-26T08:04:00Z</dcterms:created>
  <dcterms:modified xsi:type="dcterms:W3CDTF">2026-03-26T09:31:00Z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4736D6E676F04B6DB09DA402BC028FC5_13</vt:lpwstr>
  </property>
  <property fmtid="{D5CDD505-2E9C-101B-9397-08002B2CF9AE}" pid="4" name="KSOTemplateDocerSaveRecord">
    <vt:lpwstr>eyJoZGlkIjoiMDAyNDA4OTE5YTVhZmNkZWMzN2VlZTY4MThhYWJiMDUiLCJ1c2VySWQiOiIxMDcwMjg4MDY5In0=</vt:lpwstr>
  </property>
</Properties>
</file>