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adjustRightInd w:val="0"/>
        <w:snapToGrid w:val="0"/>
        <w:spacing w:before="156" w:beforeLines="50"/>
        <w:jc w:val="center"/>
        <w:rPr>
          <w:rFonts w:ascii="黑体" w:hAnsi="黑体" w:eastAsia="黑体"/>
          <w:sz w:val="28"/>
          <w:szCs w:val="28"/>
          <w:highlight w:val="none"/>
        </w:rPr>
      </w:pPr>
      <w:bookmarkStart w:id="0" w:name="_Toc9695"/>
      <w:bookmarkStart w:id="1" w:name="_Toc29589"/>
      <w:bookmarkStart w:id="2" w:name="_Toc68187363"/>
      <w:bookmarkStart w:id="3" w:name="_Toc2668"/>
      <w:r>
        <w:rPr>
          <w:rFonts w:hint="eastAsia" w:ascii="黑体" w:hAnsi="黑体" w:eastAsia="黑体"/>
          <w:sz w:val="28"/>
          <w:szCs w:val="28"/>
          <w:highlight w:val="none"/>
        </w:rPr>
        <w:t xml:space="preserve">第二节 </w:t>
      </w:r>
      <w:r>
        <w:rPr>
          <w:rFonts w:ascii="黑体" w:hAnsi="黑体" w:eastAsia="黑体"/>
          <w:sz w:val="28"/>
          <w:szCs w:val="28"/>
          <w:highlight w:val="none"/>
        </w:rPr>
        <w:t>技术要求</w:t>
      </w:r>
      <w:bookmarkEnd w:id="0"/>
      <w:bookmarkEnd w:id="1"/>
      <w:bookmarkEnd w:id="2"/>
      <w:bookmarkEnd w:id="3"/>
    </w:p>
    <w:p>
      <w:pPr>
        <w:pStyle w:val="9"/>
        <w:spacing w:before="0" w:after="0" w:line="360" w:lineRule="auto"/>
        <w:rPr>
          <w:rFonts w:ascii="宋体" w:hAnsi="宋体" w:cs="宋体"/>
          <w:sz w:val="21"/>
          <w:szCs w:val="21"/>
          <w:highlight w:val="none"/>
        </w:rPr>
      </w:pPr>
      <w:r>
        <w:rPr>
          <w:rFonts w:hint="eastAsia" w:ascii="宋体" w:hAnsi="宋体" w:cs="宋体"/>
          <w:sz w:val="21"/>
          <w:szCs w:val="21"/>
          <w:highlight w:val="none"/>
        </w:rPr>
        <w:t>包一：新校区工程训练基地A2栋中央空调系统采购</w:t>
      </w:r>
    </w:p>
    <w:p>
      <w:pPr>
        <w:pStyle w:val="9"/>
        <w:spacing w:before="0" w:after="0" w:line="360" w:lineRule="auto"/>
        <w:rPr>
          <w:rFonts w:ascii="宋体" w:hAnsi="宋体" w:cs="宋体"/>
          <w:sz w:val="21"/>
          <w:szCs w:val="21"/>
          <w:highlight w:val="none"/>
        </w:rPr>
      </w:pPr>
      <w:r>
        <w:rPr>
          <w:rFonts w:hint="eastAsia" w:ascii="宋体" w:hAnsi="宋体" w:cs="宋体"/>
          <w:sz w:val="21"/>
          <w:szCs w:val="21"/>
          <w:highlight w:val="none"/>
        </w:rPr>
        <w:t>（一）采购清单：</w:t>
      </w:r>
    </w:p>
    <w:tbl>
      <w:tblPr>
        <w:tblStyle w:val="10"/>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3272"/>
        <w:gridCol w:w="1068"/>
        <w:gridCol w:w="930"/>
        <w:gridCol w:w="2000"/>
        <w:gridCol w:w="119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95" w:type="pct"/>
            <w:noWrap/>
            <w:vAlign w:val="center"/>
          </w:tcPr>
          <w:p>
            <w:pPr>
              <w:jc w:val="center"/>
              <w:rPr>
                <w:rFonts w:ascii="宋体" w:hAnsi="宋体" w:cs="宋体"/>
                <w:b/>
                <w:bCs/>
                <w:szCs w:val="21"/>
                <w:highlight w:val="none"/>
              </w:rPr>
            </w:pPr>
            <w:r>
              <w:rPr>
                <w:rFonts w:hint="eastAsia" w:ascii="宋体" w:hAnsi="宋体" w:cs="宋体"/>
                <w:b/>
                <w:bCs/>
                <w:szCs w:val="21"/>
                <w:highlight w:val="none"/>
              </w:rPr>
              <w:t>序号</w:t>
            </w:r>
          </w:p>
        </w:tc>
        <w:tc>
          <w:tcPr>
            <w:tcW w:w="1741" w:type="pct"/>
            <w:noWrap/>
            <w:vAlign w:val="center"/>
          </w:tcPr>
          <w:p>
            <w:pPr>
              <w:jc w:val="center"/>
              <w:rPr>
                <w:rFonts w:ascii="宋体" w:hAnsi="宋体" w:cs="宋体"/>
                <w:b/>
                <w:bCs/>
                <w:szCs w:val="21"/>
                <w:highlight w:val="none"/>
              </w:rPr>
            </w:pPr>
            <w:r>
              <w:rPr>
                <w:rFonts w:hint="eastAsia" w:ascii="宋体" w:hAnsi="宋体" w:cs="宋体"/>
                <w:b/>
                <w:bCs/>
                <w:szCs w:val="21"/>
                <w:highlight w:val="none"/>
              </w:rPr>
              <w:t>货物名称</w:t>
            </w:r>
          </w:p>
        </w:tc>
        <w:tc>
          <w:tcPr>
            <w:tcW w:w="568" w:type="pct"/>
            <w:noWrap/>
            <w:vAlign w:val="center"/>
          </w:tcPr>
          <w:p>
            <w:pPr>
              <w:jc w:val="center"/>
              <w:rPr>
                <w:rFonts w:ascii="宋体" w:hAnsi="宋体" w:cs="宋体"/>
                <w:b/>
                <w:bCs/>
                <w:szCs w:val="21"/>
                <w:highlight w:val="none"/>
              </w:rPr>
            </w:pPr>
            <w:r>
              <w:rPr>
                <w:rFonts w:hint="eastAsia" w:ascii="宋体" w:hAnsi="宋体" w:cs="宋体"/>
                <w:b/>
                <w:bCs/>
                <w:szCs w:val="21"/>
                <w:highlight w:val="none"/>
              </w:rPr>
              <w:t>数量</w:t>
            </w:r>
          </w:p>
        </w:tc>
        <w:tc>
          <w:tcPr>
            <w:tcW w:w="495" w:type="pct"/>
            <w:noWrap/>
            <w:vAlign w:val="center"/>
          </w:tcPr>
          <w:p>
            <w:pPr>
              <w:jc w:val="center"/>
              <w:rPr>
                <w:rFonts w:ascii="宋体" w:hAnsi="宋体" w:cs="宋体"/>
                <w:b/>
                <w:bCs/>
                <w:szCs w:val="21"/>
                <w:highlight w:val="none"/>
              </w:rPr>
            </w:pPr>
            <w:r>
              <w:rPr>
                <w:rFonts w:hint="eastAsia" w:ascii="宋体" w:hAnsi="宋体" w:cs="宋体"/>
                <w:b/>
                <w:bCs/>
                <w:szCs w:val="21"/>
                <w:highlight w:val="none"/>
              </w:rPr>
              <w:t>单位</w:t>
            </w:r>
          </w:p>
        </w:tc>
        <w:tc>
          <w:tcPr>
            <w:tcW w:w="1064" w:type="pct"/>
            <w:noWrap/>
            <w:vAlign w:val="center"/>
          </w:tcPr>
          <w:p>
            <w:pPr>
              <w:snapToGrid w:val="0"/>
              <w:spacing w:line="360" w:lineRule="exact"/>
              <w:jc w:val="center"/>
              <w:rPr>
                <w:rFonts w:ascii="宋体" w:hAnsi="宋体" w:cs="宋体"/>
                <w:szCs w:val="21"/>
                <w:highlight w:val="none"/>
              </w:rPr>
            </w:pPr>
            <w:r>
              <w:rPr>
                <w:rFonts w:hint="eastAsia" w:ascii="宋体" w:hAnsi="宋体" w:cs="宋体"/>
                <w:b/>
                <w:bCs/>
                <w:szCs w:val="21"/>
                <w:highlight w:val="none"/>
              </w:rPr>
              <w:t>是否为核心产品</w:t>
            </w:r>
          </w:p>
        </w:tc>
        <w:tc>
          <w:tcPr>
            <w:tcW w:w="634" w:type="pct"/>
            <w:noWrap/>
            <w:vAlign w:val="center"/>
          </w:tcPr>
          <w:p>
            <w:pPr>
              <w:jc w:val="center"/>
              <w:rPr>
                <w:rFonts w:ascii="宋体" w:hAnsi="宋体" w:cs="宋体"/>
                <w:b/>
                <w:bCs/>
                <w:szCs w:val="21"/>
                <w:highlight w:val="none"/>
              </w:rPr>
            </w:pPr>
            <w:r>
              <w:rPr>
                <w:rFonts w:hint="eastAsia" w:ascii="宋体" w:hAnsi="宋体" w:cs="宋体"/>
                <w:b/>
                <w:bCs/>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5" w:type="pct"/>
            <w:noWrap/>
            <w:vAlign w:val="center"/>
          </w:tcPr>
          <w:p>
            <w:pPr>
              <w:widowControl/>
              <w:jc w:val="center"/>
              <w:rPr>
                <w:rFonts w:ascii="宋体" w:hAnsi="宋体" w:cs="宋体"/>
                <w:szCs w:val="21"/>
                <w:highlight w:val="none"/>
              </w:rPr>
            </w:pPr>
            <w:r>
              <w:rPr>
                <w:rFonts w:hint="eastAsia" w:ascii="宋体" w:hAnsi="宋体" w:cs="宋体"/>
                <w:szCs w:val="21"/>
                <w:highlight w:val="none"/>
              </w:rPr>
              <w:t>1</w:t>
            </w:r>
          </w:p>
        </w:tc>
        <w:tc>
          <w:tcPr>
            <w:tcW w:w="1741"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模块式空气能冷水热泵机组</w:t>
            </w:r>
          </w:p>
        </w:tc>
        <w:tc>
          <w:tcPr>
            <w:tcW w:w="568"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4</w:t>
            </w:r>
          </w:p>
        </w:tc>
        <w:tc>
          <w:tcPr>
            <w:tcW w:w="495"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套</w:t>
            </w:r>
          </w:p>
        </w:tc>
        <w:tc>
          <w:tcPr>
            <w:tcW w:w="1064" w:type="pct"/>
            <w:noWrap/>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是</w:t>
            </w:r>
          </w:p>
        </w:tc>
        <w:tc>
          <w:tcPr>
            <w:tcW w:w="634" w:type="pct"/>
            <w:noWrap/>
            <w:vAlign w:val="center"/>
          </w:tcPr>
          <w:p>
            <w:pPr>
              <w:jc w:val="center"/>
              <w:rPr>
                <w:rFonts w:ascii="宋体" w:hAnsi="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5" w:type="pct"/>
            <w:noWrap/>
            <w:vAlign w:val="center"/>
          </w:tcPr>
          <w:p>
            <w:pPr>
              <w:widowControl/>
              <w:jc w:val="center"/>
              <w:rPr>
                <w:rFonts w:ascii="宋体" w:hAnsi="宋体" w:cs="宋体"/>
                <w:szCs w:val="21"/>
                <w:highlight w:val="none"/>
              </w:rPr>
            </w:pPr>
            <w:r>
              <w:rPr>
                <w:rFonts w:hint="eastAsia" w:ascii="宋体" w:hAnsi="宋体" w:cs="宋体"/>
                <w:szCs w:val="21"/>
                <w:highlight w:val="none"/>
              </w:rPr>
              <w:t>2</w:t>
            </w:r>
          </w:p>
        </w:tc>
        <w:tc>
          <w:tcPr>
            <w:tcW w:w="1741"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吊顶风柜</w:t>
            </w:r>
          </w:p>
        </w:tc>
        <w:tc>
          <w:tcPr>
            <w:tcW w:w="568"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9</w:t>
            </w:r>
          </w:p>
        </w:tc>
        <w:tc>
          <w:tcPr>
            <w:tcW w:w="495"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套</w:t>
            </w:r>
          </w:p>
        </w:tc>
        <w:tc>
          <w:tcPr>
            <w:tcW w:w="1064" w:type="pct"/>
            <w:vMerge w:val="restart"/>
            <w:noWrap/>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否</w:t>
            </w:r>
          </w:p>
        </w:tc>
        <w:tc>
          <w:tcPr>
            <w:tcW w:w="634" w:type="pct"/>
            <w:noWrap/>
            <w:vAlign w:val="center"/>
          </w:tcPr>
          <w:p>
            <w:pPr>
              <w:jc w:val="center"/>
              <w:rPr>
                <w:rFonts w:ascii="宋体" w:hAnsi="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5" w:type="pct"/>
            <w:noWrap/>
            <w:vAlign w:val="center"/>
          </w:tcPr>
          <w:p>
            <w:pPr>
              <w:widowControl/>
              <w:jc w:val="center"/>
              <w:rPr>
                <w:rFonts w:ascii="宋体" w:hAnsi="宋体" w:cs="宋体"/>
                <w:szCs w:val="21"/>
                <w:highlight w:val="none"/>
              </w:rPr>
            </w:pPr>
            <w:r>
              <w:rPr>
                <w:rFonts w:hint="eastAsia" w:ascii="宋体" w:hAnsi="宋体" w:cs="宋体"/>
                <w:szCs w:val="21"/>
                <w:highlight w:val="none"/>
              </w:rPr>
              <w:t>3</w:t>
            </w:r>
          </w:p>
        </w:tc>
        <w:tc>
          <w:tcPr>
            <w:tcW w:w="1741"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射流风柜</w:t>
            </w:r>
          </w:p>
        </w:tc>
        <w:tc>
          <w:tcPr>
            <w:tcW w:w="568"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11</w:t>
            </w:r>
          </w:p>
        </w:tc>
        <w:tc>
          <w:tcPr>
            <w:tcW w:w="495"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套</w:t>
            </w:r>
          </w:p>
        </w:tc>
        <w:tc>
          <w:tcPr>
            <w:tcW w:w="1064" w:type="pct"/>
            <w:vMerge w:val="continue"/>
            <w:noWrap/>
            <w:vAlign w:val="center"/>
          </w:tcPr>
          <w:p>
            <w:pPr>
              <w:snapToGrid w:val="0"/>
              <w:spacing w:line="360" w:lineRule="exact"/>
              <w:jc w:val="center"/>
              <w:rPr>
                <w:rFonts w:ascii="宋体" w:hAnsi="宋体" w:cs="宋体"/>
                <w:szCs w:val="21"/>
                <w:highlight w:val="none"/>
              </w:rPr>
            </w:pPr>
          </w:p>
        </w:tc>
        <w:tc>
          <w:tcPr>
            <w:tcW w:w="634" w:type="pct"/>
            <w:noWrap/>
            <w:vAlign w:val="center"/>
          </w:tcPr>
          <w:p>
            <w:pPr>
              <w:jc w:val="center"/>
              <w:rPr>
                <w:rFonts w:ascii="宋体" w:hAnsi="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5" w:type="pct"/>
            <w:noWrap/>
            <w:vAlign w:val="center"/>
          </w:tcPr>
          <w:p>
            <w:pPr>
              <w:widowControl/>
              <w:jc w:val="center"/>
              <w:rPr>
                <w:rFonts w:ascii="宋体" w:hAnsi="宋体" w:cs="宋体"/>
                <w:szCs w:val="21"/>
                <w:highlight w:val="none"/>
              </w:rPr>
            </w:pPr>
            <w:r>
              <w:rPr>
                <w:rFonts w:hint="eastAsia" w:ascii="宋体" w:hAnsi="宋体" w:cs="宋体"/>
                <w:szCs w:val="21"/>
                <w:highlight w:val="none"/>
              </w:rPr>
              <w:t>4</w:t>
            </w:r>
          </w:p>
        </w:tc>
        <w:tc>
          <w:tcPr>
            <w:tcW w:w="1741"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配电柜</w:t>
            </w:r>
          </w:p>
        </w:tc>
        <w:tc>
          <w:tcPr>
            <w:tcW w:w="568"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1</w:t>
            </w:r>
          </w:p>
        </w:tc>
        <w:tc>
          <w:tcPr>
            <w:tcW w:w="495"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套</w:t>
            </w:r>
          </w:p>
        </w:tc>
        <w:tc>
          <w:tcPr>
            <w:tcW w:w="1064" w:type="pct"/>
            <w:vMerge w:val="continue"/>
            <w:noWrap/>
            <w:vAlign w:val="center"/>
          </w:tcPr>
          <w:p>
            <w:pPr>
              <w:snapToGrid w:val="0"/>
              <w:spacing w:line="360" w:lineRule="exact"/>
              <w:jc w:val="center"/>
              <w:rPr>
                <w:rFonts w:ascii="宋体" w:hAnsi="宋体" w:cs="宋体"/>
                <w:szCs w:val="21"/>
                <w:highlight w:val="none"/>
              </w:rPr>
            </w:pPr>
          </w:p>
        </w:tc>
        <w:tc>
          <w:tcPr>
            <w:tcW w:w="634" w:type="pct"/>
            <w:noWrap/>
            <w:vAlign w:val="center"/>
          </w:tcPr>
          <w:p>
            <w:pPr>
              <w:jc w:val="center"/>
              <w:rPr>
                <w:rFonts w:ascii="宋体" w:hAnsi="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5" w:type="pct"/>
            <w:noWrap/>
            <w:vAlign w:val="center"/>
          </w:tcPr>
          <w:p>
            <w:pPr>
              <w:widowControl/>
              <w:jc w:val="center"/>
              <w:rPr>
                <w:rFonts w:ascii="宋体" w:hAnsi="宋体" w:cs="宋体"/>
                <w:szCs w:val="21"/>
                <w:highlight w:val="none"/>
              </w:rPr>
            </w:pPr>
            <w:r>
              <w:rPr>
                <w:rFonts w:hint="eastAsia" w:ascii="宋体" w:hAnsi="宋体" w:cs="宋体"/>
                <w:szCs w:val="21"/>
                <w:highlight w:val="none"/>
              </w:rPr>
              <w:t>5</w:t>
            </w:r>
          </w:p>
        </w:tc>
        <w:tc>
          <w:tcPr>
            <w:tcW w:w="1741" w:type="pct"/>
            <w:vAlign w:val="center"/>
          </w:tcPr>
          <w:p>
            <w:pPr>
              <w:widowControl/>
              <w:spacing w:line="360" w:lineRule="exact"/>
              <w:ind w:left="-105" w:leftChars="-50" w:right="-103" w:rightChars="-49"/>
              <w:jc w:val="center"/>
              <w:rPr>
                <w:rFonts w:ascii="宋体" w:hAnsi="宋体" w:cs="宋体"/>
                <w:szCs w:val="21"/>
                <w:highlight w:val="none"/>
              </w:rPr>
            </w:pPr>
            <w:r>
              <w:rPr>
                <w:rFonts w:hint="eastAsia" w:ascii="宋体" w:hAnsi="宋体" w:cs="宋体"/>
                <w:szCs w:val="21"/>
                <w:highlight w:val="none"/>
              </w:rPr>
              <w:t>静压箱</w:t>
            </w:r>
          </w:p>
        </w:tc>
        <w:tc>
          <w:tcPr>
            <w:tcW w:w="568"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18</w:t>
            </w:r>
          </w:p>
        </w:tc>
        <w:tc>
          <w:tcPr>
            <w:tcW w:w="495"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套</w:t>
            </w:r>
          </w:p>
        </w:tc>
        <w:tc>
          <w:tcPr>
            <w:tcW w:w="1064" w:type="pct"/>
            <w:vMerge w:val="continue"/>
            <w:noWrap/>
            <w:vAlign w:val="center"/>
          </w:tcPr>
          <w:p>
            <w:pPr>
              <w:snapToGrid w:val="0"/>
              <w:spacing w:line="360" w:lineRule="exact"/>
              <w:jc w:val="center"/>
              <w:rPr>
                <w:rFonts w:ascii="宋体" w:hAnsi="宋体" w:cs="宋体"/>
                <w:szCs w:val="21"/>
                <w:highlight w:val="none"/>
              </w:rPr>
            </w:pPr>
          </w:p>
        </w:tc>
        <w:tc>
          <w:tcPr>
            <w:tcW w:w="634" w:type="pct"/>
            <w:noWrap/>
            <w:vAlign w:val="center"/>
          </w:tcPr>
          <w:p>
            <w:pPr>
              <w:jc w:val="center"/>
              <w:rPr>
                <w:rFonts w:ascii="宋体" w:hAnsi="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5" w:type="pct"/>
            <w:noWrap/>
            <w:vAlign w:val="center"/>
          </w:tcPr>
          <w:p>
            <w:pPr>
              <w:widowControl/>
              <w:jc w:val="center"/>
              <w:rPr>
                <w:rFonts w:ascii="宋体" w:hAnsi="宋体" w:cs="宋体"/>
                <w:szCs w:val="21"/>
                <w:highlight w:val="none"/>
              </w:rPr>
            </w:pPr>
            <w:r>
              <w:rPr>
                <w:rFonts w:hint="eastAsia" w:ascii="宋体" w:hAnsi="宋体" w:cs="宋体"/>
                <w:szCs w:val="21"/>
                <w:highlight w:val="none"/>
              </w:rPr>
              <w:t>6</w:t>
            </w:r>
          </w:p>
        </w:tc>
        <w:tc>
          <w:tcPr>
            <w:tcW w:w="1741"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冷冻水泵</w:t>
            </w:r>
          </w:p>
        </w:tc>
        <w:tc>
          <w:tcPr>
            <w:tcW w:w="568"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3</w:t>
            </w:r>
          </w:p>
        </w:tc>
        <w:tc>
          <w:tcPr>
            <w:tcW w:w="495"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套</w:t>
            </w:r>
          </w:p>
        </w:tc>
        <w:tc>
          <w:tcPr>
            <w:tcW w:w="1064" w:type="pct"/>
            <w:vMerge w:val="continue"/>
            <w:noWrap/>
            <w:vAlign w:val="center"/>
          </w:tcPr>
          <w:p>
            <w:pPr>
              <w:snapToGrid w:val="0"/>
              <w:spacing w:line="360" w:lineRule="exact"/>
              <w:jc w:val="center"/>
              <w:rPr>
                <w:rFonts w:ascii="宋体" w:hAnsi="宋体" w:cs="宋体"/>
                <w:szCs w:val="21"/>
                <w:highlight w:val="none"/>
              </w:rPr>
            </w:pPr>
          </w:p>
        </w:tc>
        <w:tc>
          <w:tcPr>
            <w:tcW w:w="634" w:type="pct"/>
            <w:noWrap/>
            <w:vAlign w:val="center"/>
          </w:tcPr>
          <w:p>
            <w:pPr>
              <w:jc w:val="center"/>
              <w:rPr>
                <w:rFonts w:ascii="宋体" w:hAnsi="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95" w:type="pct"/>
            <w:noWrap/>
            <w:vAlign w:val="center"/>
          </w:tcPr>
          <w:p>
            <w:pPr>
              <w:widowControl/>
              <w:jc w:val="center"/>
              <w:rPr>
                <w:rFonts w:ascii="宋体" w:hAnsi="宋体" w:cs="宋体"/>
                <w:szCs w:val="21"/>
                <w:highlight w:val="none"/>
              </w:rPr>
            </w:pPr>
            <w:r>
              <w:rPr>
                <w:rFonts w:hint="eastAsia" w:ascii="宋体" w:hAnsi="宋体" w:cs="宋体"/>
                <w:szCs w:val="21"/>
                <w:highlight w:val="none"/>
              </w:rPr>
              <w:t>7</w:t>
            </w:r>
          </w:p>
        </w:tc>
        <w:tc>
          <w:tcPr>
            <w:tcW w:w="1741"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系统管路</w:t>
            </w:r>
          </w:p>
        </w:tc>
        <w:tc>
          <w:tcPr>
            <w:tcW w:w="568"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1</w:t>
            </w:r>
          </w:p>
        </w:tc>
        <w:tc>
          <w:tcPr>
            <w:tcW w:w="495" w:type="pct"/>
            <w:vAlign w:val="center"/>
          </w:tcPr>
          <w:p>
            <w:pPr>
              <w:snapToGrid w:val="0"/>
              <w:spacing w:line="360" w:lineRule="exact"/>
              <w:jc w:val="center"/>
              <w:rPr>
                <w:rFonts w:ascii="宋体" w:hAnsi="宋体" w:cs="宋体"/>
                <w:szCs w:val="21"/>
                <w:highlight w:val="none"/>
              </w:rPr>
            </w:pPr>
            <w:r>
              <w:rPr>
                <w:rFonts w:hint="eastAsia" w:ascii="宋体" w:hAnsi="宋体" w:cs="宋体"/>
                <w:szCs w:val="21"/>
                <w:highlight w:val="none"/>
              </w:rPr>
              <w:t>套</w:t>
            </w:r>
          </w:p>
        </w:tc>
        <w:tc>
          <w:tcPr>
            <w:tcW w:w="1064" w:type="pct"/>
            <w:vMerge w:val="continue"/>
            <w:noWrap/>
            <w:vAlign w:val="center"/>
          </w:tcPr>
          <w:p>
            <w:pPr>
              <w:snapToGrid w:val="0"/>
              <w:spacing w:line="360" w:lineRule="exact"/>
              <w:jc w:val="center"/>
              <w:rPr>
                <w:rFonts w:ascii="宋体" w:hAnsi="宋体" w:cs="宋体"/>
                <w:szCs w:val="21"/>
                <w:highlight w:val="none"/>
              </w:rPr>
            </w:pPr>
          </w:p>
        </w:tc>
        <w:tc>
          <w:tcPr>
            <w:tcW w:w="634" w:type="pct"/>
            <w:noWrap/>
            <w:vAlign w:val="center"/>
          </w:tcPr>
          <w:p>
            <w:pPr>
              <w:jc w:val="center"/>
              <w:rPr>
                <w:rFonts w:ascii="宋体" w:hAnsi="宋体" w:cs="宋体"/>
                <w:szCs w:val="21"/>
                <w:highlight w:val="none"/>
              </w:rPr>
            </w:pPr>
          </w:p>
        </w:tc>
      </w:tr>
    </w:tbl>
    <w:p>
      <w:pPr>
        <w:widowControl/>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★注：本项目包一采购的</w:t>
      </w:r>
      <w:r>
        <w:rPr>
          <w:rFonts w:hint="eastAsia" w:ascii="宋体" w:hAnsi="宋体" w:cs="宋体"/>
          <w:b/>
          <w:bCs/>
          <w:szCs w:val="21"/>
          <w:highlight w:val="none"/>
          <w:u w:val="single"/>
        </w:rPr>
        <w:t>模块式空气能冷水热泵机组</w:t>
      </w:r>
      <w:r>
        <w:rPr>
          <w:rFonts w:hint="eastAsia" w:ascii="宋体" w:hAnsi="宋体" w:cs="宋体"/>
          <w:szCs w:val="21"/>
          <w:highlight w:val="none"/>
        </w:rPr>
        <w:t>为政府采购实行强制采购的节能产品，投标人应在投标文件中提供投标产品取得国家确定的认证机构出具的、处于有效期之内的节能产品认证证书复印件。</w:t>
      </w:r>
    </w:p>
    <w:p>
      <w:pPr>
        <w:widowControl/>
        <w:snapToGrid w:val="0"/>
        <w:spacing w:line="360" w:lineRule="auto"/>
        <w:jc w:val="left"/>
        <w:rPr>
          <w:rFonts w:ascii="宋体" w:hAnsi="宋体" w:cs="宋体"/>
          <w:b/>
          <w:bCs/>
          <w:szCs w:val="21"/>
          <w:highlight w:val="none"/>
        </w:rPr>
      </w:pPr>
      <w:r>
        <w:rPr>
          <w:rFonts w:hint="eastAsia" w:ascii="宋体" w:hAnsi="宋体" w:cs="宋体"/>
          <w:b/>
          <w:bCs/>
          <w:szCs w:val="21"/>
          <w:highlight w:val="none"/>
        </w:rPr>
        <w:t>（二）技术参数</w:t>
      </w:r>
      <w:bookmarkStart w:id="4" w:name="_Toc334527095"/>
      <w:bookmarkStart w:id="5" w:name="_Toc227423936"/>
    </w:p>
    <w:bookmarkEnd w:id="4"/>
    <w:bookmarkEnd w:id="5"/>
    <w:p>
      <w:pPr>
        <w:spacing w:line="360" w:lineRule="auto"/>
        <w:ind w:firstLine="420" w:firstLineChars="200"/>
        <w:rPr>
          <w:rFonts w:ascii="宋体" w:hAnsi="宋体" w:cs="宋体"/>
          <w:szCs w:val="21"/>
          <w:highlight w:val="none"/>
        </w:rPr>
      </w:pPr>
      <w:r>
        <w:rPr>
          <w:rFonts w:hint="eastAsia" w:ascii="宋体" w:hAnsi="宋体" w:cs="宋体"/>
          <w:szCs w:val="21"/>
          <w:highlight w:val="none"/>
        </w:rPr>
        <w:t>中央空调（水）系统用于中南大学新校区工程训练基地A2栋。采购项目包括中央空调主机、末端设备、空调管道管路、空调风系统及系统安装工程。A栋共二层，总建筑面积4376㎡，其中一层建筑面积2300㎡，层高8.4米；二层建筑面积2077㎡，层高7.5米。</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招标范围为中央空调（水）系统全部设备、管路、阀门、附件等（含动力电缆、控制器及控制箱柜）供货安装，工程安装符合《通风与空调工程施工及验收规范》（GB50243-2016）和《通风与空调工程施工规范》（GB50738-2011）以及其他有关规范。</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1、主机设备</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★1.1</w:t>
      </w:r>
      <w:r>
        <w:rPr>
          <w:rFonts w:hint="eastAsia" w:ascii="宋体" w:hAnsi="宋体" w:cs="宋体"/>
          <w:szCs w:val="21"/>
          <w:highlight w:val="none"/>
        </w:rPr>
        <w:t>模块式风冷冷热水机组单台模块式风冷冷热水机组制冷量≧130KW，制冷能效比≧3.0</w:t>
      </w:r>
      <w:r>
        <w:rPr>
          <w:rFonts w:hint="eastAsia" w:ascii="宋体" w:hAnsi="宋体" w:cs="宋体"/>
          <w:szCs w:val="21"/>
          <w:highlight w:val="none"/>
        </w:rPr>
        <w:t>。</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★1.2单台模块式风冷冷热水机组制热量≧136KW</w:t>
      </w:r>
      <w:r>
        <w:rPr>
          <w:rFonts w:hint="eastAsia" w:ascii="宋体" w:hAnsi="宋体" w:cs="宋体"/>
          <w:szCs w:val="21"/>
          <w:highlight w:val="none"/>
          <w:lang w:eastAsia="zh-CN"/>
        </w:rPr>
        <w:t>，</w:t>
      </w:r>
      <w:r>
        <w:rPr>
          <w:rFonts w:hint="eastAsia" w:ascii="宋体" w:hAnsi="宋体" w:cs="宋体"/>
          <w:szCs w:val="21"/>
          <w:highlight w:val="none"/>
        </w:rPr>
        <w:t>制热能效比≧3.3。</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1.3单台风冷热泵模块机组运行重量≤1200kg，单台机组占地面积≤</w:t>
      </w:r>
      <w:r>
        <w:rPr>
          <w:rFonts w:hint="eastAsia" w:ascii="宋体" w:hAnsi="宋体" w:cs="宋体"/>
          <w:szCs w:val="21"/>
          <w:highlight w:val="none"/>
        </w:rPr>
        <w:t>2.5㎡</w:t>
      </w:r>
      <w:r>
        <w:rPr>
          <w:rFonts w:hint="eastAsia" w:ascii="宋体" w:hAnsi="宋体" w:cs="宋体"/>
          <w:szCs w:val="21"/>
          <w:highlight w:val="none"/>
        </w:rPr>
        <w:t>。</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1.4 风冷热泵机组采用</w:t>
      </w:r>
      <w:r>
        <w:rPr>
          <w:rFonts w:hint="eastAsia" w:ascii="宋体" w:hAnsi="宋体" w:cs="宋体"/>
          <w:szCs w:val="21"/>
          <w:highlight w:val="none"/>
        </w:rPr>
        <w:t>R410A或R134A</w:t>
      </w:r>
      <w:r>
        <w:rPr>
          <w:rFonts w:hint="eastAsia" w:ascii="宋体" w:hAnsi="宋体" w:cs="宋体"/>
          <w:szCs w:val="21"/>
          <w:highlight w:val="none"/>
        </w:rPr>
        <w:t>冷媒，压缩机采用高效</w:t>
      </w:r>
      <w:r>
        <w:rPr>
          <w:rFonts w:hint="eastAsia" w:ascii="宋体" w:hAnsi="宋体" w:cs="宋体"/>
          <w:szCs w:val="21"/>
          <w:highlight w:val="none"/>
        </w:rPr>
        <w:t>涡旋喷气增焓压缩机</w:t>
      </w:r>
      <w:r>
        <w:rPr>
          <w:rFonts w:hint="eastAsia" w:ascii="宋体" w:hAnsi="宋体" w:cs="宋体"/>
          <w:szCs w:val="21"/>
          <w:highlight w:val="none"/>
        </w:rPr>
        <w:t>，高效率运转。</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1.5 单个模块采用双系统设计，单台机组采用多制冷回路设计，可进行多级容量调节。</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1.6 风冷热泵机组水侧换热器采用壳管式换热器，可拆装、清洗，维护方便。</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1.7 风冷热泵机组空气侧换热器采用高效铜管铝翅片盘管热交换器，热交换器采用φ7内螺纹管，</w:t>
      </w:r>
      <w:r>
        <w:rPr>
          <w:rFonts w:hint="eastAsia" w:ascii="宋体" w:hAnsi="宋体" w:cs="宋体"/>
          <w:szCs w:val="21"/>
          <w:highlight w:val="none"/>
        </w:rPr>
        <w:t>采用气流分布均匀的翅片结构</w:t>
      </w:r>
      <w:r>
        <w:rPr>
          <w:rFonts w:hint="eastAsia" w:ascii="宋体" w:hAnsi="宋体" w:cs="宋体"/>
          <w:szCs w:val="21"/>
          <w:highlight w:val="none"/>
        </w:rPr>
        <w:t>，减少结霜，提高换热能力。</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1.8 风冷热泵机组采用480步电子膨胀阀精确节流控制，动态匹配制冷系统。</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1.9风冷热泵机组风机采用高效低噪声轴流风机。</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1.10 机组具有10多项安全保护功能，对机组及系统进行全方位综合保护。机组设有压缩机、风扇电机、水流量、制冷系统高低压、水温、防冻、电源等多重保护。</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1.11 机组设高精度温度传感器，可精确感知结霜情况下系统压力与温度的变化，智能选择最佳除霜时机，避免化霜不尽或频繁化霜等问题。</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1.12 控制系统可以控制单台及多台机组，自动平衡各个模块及压缩机运行时间，延长机组使用寿命，主机具有主子模块设计。</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1.13机组拼接方式：各机组采用水管短侧接管方式，各机组并联拼接，不允许采用串联方式拼接各模块机组。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2、末端设备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★2.1射流风柜</w:t>
      </w:r>
      <w:r>
        <w:rPr>
          <w:rFonts w:hint="eastAsia" w:ascii="宋体" w:hAnsi="宋体" w:cs="宋体"/>
          <w:szCs w:val="21"/>
          <w:highlight w:val="none"/>
        </w:rPr>
        <w:t>单台风量≧6000m3/h，制冷量≧43.2KW，射程≧26米</w:t>
      </w:r>
      <w:r>
        <w:rPr>
          <w:rFonts w:hint="eastAsia" w:ascii="宋体" w:hAnsi="宋体" w:cs="宋体"/>
          <w:szCs w:val="21"/>
          <w:highlight w:val="none"/>
        </w:rPr>
        <w:t>，自带两个φ400射流风口。</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★2.2吊顶风柜</w:t>
      </w:r>
      <w:r>
        <w:rPr>
          <w:rFonts w:hint="eastAsia" w:ascii="宋体" w:hAnsi="宋体" w:cs="宋体"/>
          <w:szCs w:val="21"/>
          <w:highlight w:val="none"/>
        </w:rPr>
        <w:t>单台风量≧6000m3/h，制冷量≧43.2KW，余压≧300Pa</w:t>
      </w:r>
      <w:r>
        <w:rPr>
          <w:rFonts w:hint="eastAsia" w:ascii="宋体" w:hAnsi="宋体" w:cs="宋体"/>
          <w:szCs w:val="21"/>
          <w:highlight w:val="none"/>
        </w:rPr>
        <w:t>。</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2.3 机组电源380V/50Hz，绝缘等级B级，防护等级IP44。</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2.4</w:t>
      </w:r>
      <w:r>
        <w:rPr>
          <w:rFonts w:hint="eastAsia" w:ascii="宋体" w:hAnsi="宋体" w:cs="宋体"/>
          <w:szCs w:val="21"/>
          <w:highlight w:val="none"/>
        </w:rPr>
        <w:t xml:space="preserve"> 保温性能佳，双层“三明治”型箱体厚30mm，内外层面板采用0.35mm厚彩钢板，内夹聚苯乙烯保温或密度为40kg/h的聚氨酯保温，面板采用模数化更精确，更方便。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2.5 密封性好，采用回转式迷宫密封结构，利用三元乙丙密封条双次密封性能，确保机组漏风率≤1。</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2.6 无冷桥设计，</w:t>
      </w:r>
      <w:r>
        <w:rPr>
          <w:rFonts w:hint="eastAsia" w:ascii="宋体" w:hAnsi="宋体" w:cs="宋体"/>
          <w:szCs w:val="21"/>
          <w:highlight w:val="none"/>
        </w:rPr>
        <w:t>采用PU橡胶设计</w:t>
      </w:r>
      <w:r>
        <w:rPr>
          <w:rFonts w:hint="eastAsia" w:ascii="宋体" w:hAnsi="宋体" w:cs="宋体"/>
          <w:szCs w:val="21"/>
          <w:highlight w:val="none"/>
        </w:rPr>
        <w:t>，使得机组箱体彻底做到无冷桥；</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2.7 隔声性能优，采用双层高密度箱体面板，使机组具有优良的隔热性能，最大限度的降低噪声。</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2.8 风机采用严格质量标准的名优产品，为优质低躁声、高效率的外转子或皮带离心通风机，需经过严格精密的动、静平衡试验。</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2.9 表冷器主体采用优质无缝紫铜管和高纯度铝箔,经先进的机械或液压涨管工艺使之紧密一体后经2.8MPa气压密封检漏测试。</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2.10 整体干式凝水盘，精心设计的整体凝水盘和特厚内衬保温材料确保机组在恶劣环境工况下无凝露滴水。</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2.11 </w:t>
      </w:r>
      <w:r>
        <w:rPr>
          <w:rFonts w:hint="eastAsia" w:ascii="宋体" w:hAnsi="宋体" w:cs="宋体"/>
          <w:szCs w:val="21"/>
          <w:highlight w:val="none"/>
        </w:rPr>
        <w:t>空气过滤器，防霉型的板式粗效尼龙过滤，具有初阻力小，效率高、性能稳定、使用方便简洁、可重复清洗使用等特点</w:t>
      </w:r>
      <w:r>
        <w:rPr>
          <w:rFonts w:hint="eastAsia" w:ascii="宋体" w:hAnsi="宋体" w:cs="宋体"/>
          <w:szCs w:val="21"/>
          <w:highlight w:val="none"/>
        </w:rPr>
        <w:t xml:space="preserve">。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3、阀门及管路系统</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3.1 空调水管≤DN80的管路均采用镀锌钢管，管径&gt;DN80采用无缝钢管；冷凝水管采用PVC排水管粘接，主管坡度不小于0.003，坡向排水点；所有管路（空调送回水及冷凝水管）穿墙时，机械打孔并加套管。</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3.2阀门管径小于DN65的管道均采用闸阀，管径大于等于DN65采用碟阀；管径≤DN80的阀门均采用丝扣连接，管径&gt;DN80阀门采用焊接。阀门型号、规格、耐压强度和严密性试验结果符合设计及有关规范、标准要求；</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3.3外观良好、无锈斑；阀门的铭牌应符合现行国家标准《通用阀门标志》(GB12220)的规定；</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3.4阀门阀杆与阀体结合部位不渗漏，采用优质橡胶密封材料。严禁使用再生橡胶。具有较好的抗老化和耐磨性；</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3.5 除易损件可在正常寿命期间更换外，阀门的橡胶15 年以上，不锈钢金属约50年，整体使用寿命不少于15 年。提供阀门的整体使用寿命、平均无故障时间、平均故障修复时间以及主要部件和易损件的使用年限。</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3.6电动开关阀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3.6.1额定压力为1.6MPa。阀体耐压和阀门关断压力要满足阀门所在位置的要求。</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3.6.2 执行器：220VAC 供电，具有开/关到位信号反馈（位置指示）。</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3.6.3 带人工手轮手动装置，在掉电或停机时系统处于安全状态，也应能手动操作，以便该执行器自动功能，故障时不致使整台机组停机。</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3.6.4 阀体为青铜或优质脱锌黄铜（DN≤50），铸铁包尼龙（DN≥65）；阀芯为不锈钢或青铜，阀杆：不锈钢。使用寿命不少于30 年。</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 电动调节阀</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3.7.1 额定压力：1.6MPa，并满足使用位置所需要的关闭压差。</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3.7.2 执行器：220V/24VAC 供电，0～10VDC 或4～20mA 信号控制，具有位置信号(0～10VDC 或4～20mA)反馈。执行器应具有全行程的过载保护装置，以免在阀门堵塞或关闭压差过大时烧毁电机。执行器在断电后，可以弹簧复位安全关闭。</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3.7.3 直径≤DN50 采用丝扣连接，其余采用国标法兰连接。</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3.7.4 调节特性: 理想的等百分比（要求提供阀门调节特性曲线图）。</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3.7.5 防护等级≥IP54。</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3.7.6 带手动装置，在掉电或停机时系统处于安全状态，也应能手动操作，以便该执行器自动功能故障时不致使整台机组停机；</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3.7.7 阀体为青铜或优质脱锌黄铜（DN≤50），铸铁（DN≥65），阀芯：不锈钢或青铜，阀杆：不锈钢。</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3.7.8安全开关运行次数应不低于 100000 次，并提供国内具有检测资质单位出具的检测报告。</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3.7.9 须根据实际通过阀门的最大流量和允许的最大压降计算选择合适Kvs 值的阀门规格，并提供完整、正确的阀门规格计算选型书。口径不变的情况下，如选用不同流量系数的阀门，价格不做调整。</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 检验与安装测试</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4.1 阀门应进行阀体耐压试验和阀座密封试验，对阀体的强度和紧密性及阀门的密封性进行检验，阀体、法兰连接、阀杆密封和阀座密封均不允许有泄漏。其中阀体耐压试验公称压力的1.5倍，阀座密封试验为公称压力的1.1倍。</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4.2 若对产品检测结果有争议时，需到业主认可的第三方按照双方同意的测试方式进行测试。</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4.3需要现场进行测试时，应将测试内容记录及测试结果交于业主，现场测量工具可由供应商提供。</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4.4 阀门应进行操作试验，要求阀门启闭灵活轻便，开度任意可调，各限位开关，扭矩开关应灵敏可靠。</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4.5 水管支吊架安装可视现场情况采用膨胀螺栓固定 ；支吊架间距满足《通风与空调工程施工及验收规范》要求。</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4.6 水压试验：管道系统水压试验压力为0.8MPa，压力试验以10分钟内压力值下降不超过0.02MPa为合格。将压力降至工作压力进行严密性试验，用0.5kg小锤敲击焊缝应无异样、无渗水现象。</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4.7 系统试压合格后应进行清洗，为防止安装垃圾进入制冷主机及其它设备，须设临时冲洗旁通管，冲洗水流速度不小于0.8m/s，直到放出水洁净为止，在整个系统全部冲洗合格后卸下所有过滤器内的滤网，用清水洗净后重新装入过滤器。4.8 过渡季节停机时应保证系统充满水以防管道锈蚀。</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4.9 保温：冷热水管路及阀门管件均采用橡塑保温，保温厚度DN20-DN40为25mm、DN50-DN100为32mm、DN125及以上为40mm，冷凝水管为13mm。</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4.10 防腐：所有焊接钢管外壁除锈后刷防锈漆两道，明装补水管道刷绿色面漆一道；全部支吊架除锈后刷防锈漆两道。室 外管道均进行铝皮保温及美化。</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4.11主机设备安装均需进行减震处理，脚座安装阻尼弹簧减振器；主机动力电缆及电控柜安装符合《建筑电气要程施工质量验收规范》GB50303。</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5 系统方案与验收文件</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5.1 根据A2栋建筑设计（附图）及中央空调系统要求，提交空调系统方案图、设计说明书、管路图、安装图、报价单明细。</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4.5工程完工后须交付下列各项供验收：（1）空调系统设计图、安装图；（2）完整测试和试运行报告；（3）安装运行保养说明书，其中包括安装和运行程序，详尽的部件清单、备件清单，所有设备的保养步骤和建议保养程度和次数。 </w:t>
      </w:r>
    </w:p>
    <w:p>
      <w:pPr>
        <w:rPr>
          <w:highlight w:val="none"/>
        </w:rPr>
      </w:pPr>
      <w:bookmarkStart w:id="6" w:name="_GoBack"/>
      <w:bookmarkEnd w:id="6"/>
    </w:p>
    <w:sectPr>
      <w:pgSz w:w="11906" w:h="16838"/>
      <w:pgMar w:top="1361" w:right="1361" w:bottom="1361"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0YTBmM2I1ODVmZWYzNDk0MTE1Nzg4Y2UzMTI4YzIifQ=="/>
  </w:docVars>
  <w:rsids>
    <w:rsidRoot w:val="579E64EF"/>
    <w:rsid w:val="00017A01"/>
    <w:rsid w:val="001D4B8C"/>
    <w:rsid w:val="002F7D36"/>
    <w:rsid w:val="009235E7"/>
    <w:rsid w:val="03BC05E4"/>
    <w:rsid w:val="09053338"/>
    <w:rsid w:val="27F9663D"/>
    <w:rsid w:val="286F5092"/>
    <w:rsid w:val="28E60229"/>
    <w:rsid w:val="2A7406DB"/>
    <w:rsid w:val="2BA42F76"/>
    <w:rsid w:val="2DEE492F"/>
    <w:rsid w:val="30B715A6"/>
    <w:rsid w:val="32E97AD3"/>
    <w:rsid w:val="4BB21010"/>
    <w:rsid w:val="4E025F2F"/>
    <w:rsid w:val="579E64EF"/>
    <w:rsid w:val="596C7DC7"/>
    <w:rsid w:val="64BB664B"/>
    <w:rsid w:val="64C56E66"/>
    <w:rsid w:val="66754F1F"/>
    <w:rsid w:val="67575F8A"/>
    <w:rsid w:val="746F5D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keepNext/>
      <w:keepLines/>
      <w:spacing w:line="360" w:lineRule="auto"/>
      <w:outlineLvl w:val="1"/>
    </w:pPr>
    <w:rPr>
      <w:rFonts w:ascii="Arial" w:hAnsi="Arial"/>
      <w:b/>
      <w:bCs/>
      <w:sz w:val="24"/>
      <w:szCs w:val="32"/>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1"/>
    <w:qFormat/>
    <w:uiPriority w:val="0"/>
    <w:pPr>
      <w:spacing w:after="120"/>
    </w:pPr>
  </w:style>
  <w:style w:type="paragraph" w:styleId="5">
    <w:name w:val="annotation text"/>
    <w:basedOn w:val="1"/>
    <w:qFormat/>
    <w:uiPriority w:val="0"/>
    <w:pPr>
      <w:jc w:val="left"/>
    </w:pPr>
  </w:style>
  <w:style w:type="paragraph" w:styleId="6">
    <w:name w:val="Balloon Text"/>
    <w:basedOn w:val="1"/>
    <w:link w:val="13"/>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Subtitle"/>
    <w:basedOn w:val="1"/>
    <w:next w:val="1"/>
    <w:qFormat/>
    <w:uiPriority w:val="11"/>
    <w:pPr>
      <w:spacing w:before="240" w:after="60" w:line="312" w:lineRule="auto"/>
      <w:jc w:val="left"/>
      <w:outlineLvl w:val="1"/>
    </w:pPr>
    <w:rPr>
      <w:rFonts w:ascii="等线 Light" w:hAnsi="等线 Light"/>
      <w:b/>
      <w:bCs/>
      <w:kern w:val="28"/>
      <w:sz w:val="28"/>
      <w:szCs w:val="32"/>
    </w:rPr>
  </w:style>
  <w:style w:type="character" w:styleId="12">
    <w:name w:val="annotation reference"/>
    <w:basedOn w:val="11"/>
    <w:uiPriority w:val="0"/>
    <w:rPr>
      <w:sz w:val="21"/>
      <w:szCs w:val="21"/>
    </w:rPr>
  </w:style>
  <w:style w:type="character" w:customStyle="1" w:styleId="13">
    <w:name w:val="批注框文本 字符"/>
    <w:basedOn w:val="11"/>
    <w:link w:val="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3229</Words>
  <Characters>3673</Characters>
  <Lines>27</Lines>
  <Paragraphs>7</Paragraphs>
  <TotalTime>28</TotalTime>
  <ScaleCrop>false</ScaleCrop>
  <LinksUpToDate>false</LinksUpToDate>
  <CharactersWithSpaces>3738</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2022-08-31T10:03:00Z</dcterms:created>
  <dc:creator>拾壹✨</dc:creator>
  <cp:lastModifiedBy>拾壹✨</cp:lastModifiedBy>
  <dcterms:modified xsi:type="dcterms:W3CDTF">2022-09-01T03:17:05Z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6945A90C98714E778A774DBBD3042F5A</vt:lpwstr>
  </property>
</Properties>
</file>