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46CAA2">
      <w:pPr>
        <w:pStyle w:val="2"/>
        <w:keepNext/>
        <w:keepLines/>
        <w:pageBreakBefore w:val="0"/>
        <w:widowControl w:val="0"/>
        <w:kinsoku/>
        <w:wordWrap/>
        <w:overflowPunct/>
        <w:topLinePunct w:val="0"/>
        <w:autoSpaceDE/>
        <w:autoSpaceDN/>
        <w:bidi w:val="0"/>
        <w:adjustRightInd/>
        <w:snapToGrid/>
        <w:spacing w:before="220" w:after="210"/>
        <w:jc w:val="center"/>
        <w:textAlignment w:val="auto"/>
        <w:rPr>
          <w:rFonts w:hint="default" w:eastAsia="仿宋_GB2312" w:asciiTheme="minorHAnsi" w:hAnsiTheme="minorHAnsi" w:cstheme="minorBidi"/>
          <w:bCs/>
          <w:kern w:val="2"/>
          <w:sz w:val="28"/>
          <w:szCs w:val="28"/>
          <w:lang w:val="en-US" w:eastAsia="zh-CN" w:bidi="ar-SA"/>
        </w:rPr>
      </w:pPr>
      <w:r>
        <w:rPr>
          <w:rFonts w:hint="eastAsia" w:cstheme="minorBidi"/>
          <w:bCs/>
          <w:kern w:val="2"/>
          <w:sz w:val="28"/>
          <w:szCs w:val="28"/>
          <w:lang w:val="en-US" w:eastAsia="zh-CN" w:bidi="ar-SA"/>
        </w:rPr>
        <w:t>技术参数</w:t>
      </w:r>
    </w:p>
    <w:tbl>
      <w:tblPr>
        <w:tblStyle w:val="6"/>
        <w:tblW w:w="48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
        <w:gridCol w:w="578"/>
        <w:gridCol w:w="7213"/>
      </w:tblGrid>
      <w:tr w14:paraId="75B7A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40" w:type="pct"/>
            <w:vAlign w:val="center"/>
          </w:tcPr>
          <w:p w14:paraId="0FA8C88C">
            <w:pPr>
              <w:widowControl/>
              <w:spacing w:line="340" w:lineRule="exact"/>
              <w:jc w:val="center"/>
              <w:rPr>
                <w:rFonts w:ascii="宋体" w:hAnsi="宋体" w:eastAsia="宋体" w:cs="Times New Roman"/>
                <w:bCs w:val="0"/>
                <w:kern w:val="0"/>
                <w:sz w:val="18"/>
                <w:szCs w:val="18"/>
              </w:rPr>
            </w:pPr>
            <w:r>
              <w:rPr>
                <w:rFonts w:hint="eastAsia" w:ascii="宋体" w:hAnsi="宋体" w:eastAsia="宋体" w:cs="Times New Roman"/>
                <w:bCs w:val="0"/>
                <w:kern w:val="0"/>
                <w:sz w:val="18"/>
                <w:szCs w:val="18"/>
              </w:rPr>
              <w:t>序号</w:t>
            </w:r>
          </w:p>
        </w:tc>
        <w:tc>
          <w:tcPr>
            <w:tcW w:w="353" w:type="pct"/>
            <w:vAlign w:val="center"/>
          </w:tcPr>
          <w:p w14:paraId="52342DA5">
            <w:pPr>
              <w:widowControl/>
              <w:spacing w:line="340" w:lineRule="exact"/>
              <w:jc w:val="center"/>
              <w:rPr>
                <w:rFonts w:ascii="宋体" w:hAnsi="宋体" w:eastAsia="宋体" w:cs="Times New Roman"/>
                <w:bCs w:val="0"/>
                <w:kern w:val="0"/>
                <w:sz w:val="18"/>
                <w:szCs w:val="18"/>
              </w:rPr>
            </w:pPr>
            <w:r>
              <w:rPr>
                <w:rFonts w:hint="eastAsia" w:ascii="宋体" w:hAnsi="宋体" w:eastAsia="宋体" w:cs="Times New Roman"/>
                <w:bCs w:val="0"/>
                <w:kern w:val="0"/>
                <w:sz w:val="18"/>
                <w:szCs w:val="18"/>
              </w:rPr>
              <w:t>货物名称</w:t>
            </w:r>
          </w:p>
        </w:tc>
        <w:tc>
          <w:tcPr>
            <w:tcW w:w="4406" w:type="pct"/>
            <w:vAlign w:val="center"/>
          </w:tcPr>
          <w:p w14:paraId="49E37D39">
            <w:pPr>
              <w:widowControl/>
              <w:spacing w:line="340" w:lineRule="exact"/>
              <w:jc w:val="center"/>
              <w:rPr>
                <w:rFonts w:ascii="宋体" w:hAnsi="宋体" w:eastAsia="宋体" w:cs="Times New Roman"/>
                <w:bCs w:val="0"/>
                <w:kern w:val="0"/>
                <w:sz w:val="18"/>
                <w:szCs w:val="18"/>
              </w:rPr>
            </w:pPr>
            <w:r>
              <w:rPr>
                <w:rFonts w:hint="eastAsia" w:ascii="宋体" w:hAnsi="宋体" w:eastAsia="宋体" w:cs="宋体"/>
                <w:sz w:val="18"/>
                <w:szCs w:val="18"/>
              </w:rPr>
              <w:t>功能指标</w:t>
            </w:r>
          </w:p>
        </w:tc>
      </w:tr>
      <w:tr w14:paraId="5793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4" w:hRule="atLeast"/>
          <w:jc w:val="center"/>
        </w:trPr>
        <w:tc>
          <w:tcPr>
            <w:tcW w:w="240" w:type="pct"/>
            <w:vAlign w:val="center"/>
          </w:tcPr>
          <w:p w14:paraId="389E7ED7">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w:t>
            </w:r>
          </w:p>
        </w:tc>
        <w:tc>
          <w:tcPr>
            <w:tcW w:w="353" w:type="pct"/>
            <w:vAlign w:val="center"/>
          </w:tcPr>
          <w:p w14:paraId="56E16A9E">
            <w:pPr>
              <w:pStyle w:val="7"/>
              <w:widowControl/>
              <w:spacing w:line="240" w:lineRule="auto"/>
              <w:jc w:val="left"/>
              <w:rPr>
                <w:rFonts w:hint="default"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超扫描脑信号采集分析系统</w:t>
            </w:r>
          </w:p>
        </w:tc>
        <w:tc>
          <w:tcPr>
            <w:tcW w:w="4406" w:type="pct"/>
            <w:vAlign w:val="center"/>
          </w:tcPr>
          <w:p w14:paraId="0C2B7DF6">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一、放大器</w:t>
            </w:r>
          </w:p>
          <w:p w14:paraId="27EE56C3">
            <w:pPr>
              <w:pStyle w:val="7"/>
              <w:widowControl/>
              <w:spacing w:line="240" w:lineRule="auto"/>
              <w:jc w:val="left"/>
              <w:rPr>
                <w:rFonts w:hint="default"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 xml:space="preserve">1.1 </w:t>
            </w:r>
            <w:r>
              <w:rPr>
                <w:rFonts w:hint="eastAsia" w:ascii="宋体" w:hAnsi="宋体" w:eastAsia="宋体" w:cs="Times New Roman"/>
                <w:bCs w:val="0"/>
                <w:kern w:val="0"/>
                <w:sz w:val="18"/>
                <w:szCs w:val="18"/>
                <w:lang w:val="en-US" w:eastAsia="zh-CN"/>
              </w:rPr>
              <w:t>单体136导联放大器，内置多模态采集模块，支持同步采集EEG、ERP、ECOG、皮电、呼吸、心电、加速度、温度、血压等生理参数。设备包含128个EEG通道和8个双极通道，并可拆分为两套独立的64导脑电放大器（每套均集成多模态采集模块）</w:t>
            </w:r>
            <w:r>
              <w:rPr>
                <w:rFonts w:hint="eastAsia" w:ascii="宋体" w:hAnsi="宋体" w:cs="Times New Roman"/>
                <w:bCs w:val="0"/>
                <w:kern w:val="0"/>
                <w:sz w:val="18"/>
                <w:szCs w:val="18"/>
                <w:lang w:val="en-US" w:eastAsia="zh-CN"/>
              </w:rPr>
              <w:t>，</w:t>
            </w:r>
            <w:r>
              <w:rPr>
                <w:rFonts w:hint="eastAsia" w:ascii="宋体" w:hAnsi="宋体" w:eastAsia="宋体" w:cs="Times New Roman"/>
                <w:bCs w:val="0"/>
                <w:kern w:val="0"/>
                <w:sz w:val="18"/>
                <w:szCs w:val="18"/>
                <w:lang w:val="en-US" w:eastAsia="zh-CN"/>
              </w:rPr>
              <w:t>64导脑电放大器≥2套，多模态采集模块≥2套</w:t>
            </w:r>
            <w:r>
              <w:rPr>
                <w:rFonts w:hint="eastAsia" w:ascii="宋体" w:hAnsi="宋体" w:cs="Times New Roman"/>
                <w:bCs w:val="0"/>
                <w:kern w:val="0"/>
                <w:sz w:val="18"/>
                <w:szCs w:val="18"/>
                <w:lang w:val="en-US" w:eastAsia="zh-CN"/>
              </w:rPr>
              <w:t>；</w:t>
            </w:r>
          </w:p>
          <w:p w14:paraId="73416398">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1.2</w:t>
            </w:r>
            <w:r>
              <w:rPr>
                <w:rFonts w:hint="eastAsia" w:ascii="宋体" w:hAnsi="宋体" w:eastAsia="宋体" w:cs="Times New Roman"/>
                <w:bCs w:val="0"/>
                <w:kern w:val="0"/>
                <w:sz w:val="18"/>
                <w:szCs w:val="18"/>
                <w:lang w:val="en-US" w:eastAsia="zh-CN"/>
              </w:rPr>
              <w:t>所有通道同时采集时采样速率：≥45000Hz/通道（提供含网站链接的官网截图或彩页资料证明）；</w:t>
            </w:r>
          </w:p>
          <w:p w14:paraId="76E73410">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1.3</w:t>
            </w:r>
            <w:r>
              <w:rPr>
                <w:rFonts w:hint="eastAsia" w:ascii="宋体" w:hAnsi="宋体" w:eastAsia="宋体" w:cs="Times New Roman"/>
                <w:bCs w:val="0"/>
                <w:kern w:val="0"/>
                <w:sz w:val="18"/>
                <w:szCs w:val="18"/>
                <w:lang w:val="en-US" w:eastAsia="zh-CN"/>
              </w:rPr>
              <w:t xml:space="preserve"> 频带宽度：DC-7500Hz，同时支持AC/DC采集模式提供含网站链接的官网截图或彩页资料证明）；</w:t>
            </w:r>
          </w:p>
          <w:p w14:paraId="5DE13016">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1.4 共模抑制比：≥100 dB；</w:t>
            </w:r>
          </w:p>
          <w:p w14:paraId="1CF8C887">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1.5 信号分辨率：≤0.05 µV / bit ；</w:t>
            </w:r>
          </w:p>
          <w:p w14:paraId="01733701">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1.6 放大器噪声：≤2μVpp；</w:t>
            </w:r>
          </w:p>
          <w:p w14:paraId="74144BFC">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1.7 A/D转换：24位；</w:t>
            </w:r>
          </w:p>
          <w:p w14:paraId="6B94C48F">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1.8 采用专用USB线进行数据传输，支持在非屏蔽室环境下准确记录脑电信号；</w:t>
            </w:r>
          </w:p>
          <w:p w14:paraId="117401B0">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1.9 系统模块化设计，后期可直接升级，不要另外购置放大器与头盒；</w:t>
            </w:r>
          </w:p>
          <w:p w14:paraId="57F48AEC">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1.10</w:t>
            </w:r>
            <w:r>
              <w:rPr>
                <w:rFonts w:hint="eastAsia" w:ascii="宋体" w:hAnsi="宋体" w:eastAsia="宋体" w:cs="Times New Roman"/>
                <w:bCs w:val="0"/>
                <w:kern w:val="0"/>
                <w:sz w:val="18"/>
                <w:szCs w:val="18"/>
                <w:lang w:val="en-US" w:eastAsia="zh-CN"/>
              </w:rPr>
              <w:t>电源模块≥2套</w:t>
            </w:r>
            <w:r>
              <w:rPr>
                <w:rFonts w:hint="eastAsia" w:ascii="宋体" w:hAnsi="宋体" w:cs="Times New Roman"/>
                <w:bCs w:val="0"/>
                <w:kern w:val="0"/>
                <w:sz w:val="18"/>
                <w:szCs w:val="18"/>
                <w:lang w:val="en-US" w:eastAsia="zh-CN"/>
              </w:rPr>
              <w:t>，</w:t>
            </w:r>
            <w:r>
              <w:rPr>
                <w:rFonts w:hint="eastAsia" w:ascii="宋体" w:hAnsi="宋体" w:eastAsia="宋体" w:cs="Times New Roman"/>
                <w:bCs w:val="0"/>
                <w:kern w:val="0"/>
                <w:sz w:val="18"/>
                <w:szCs w:val="18"/>
                <w:lang w:val="en-US" w:eastAsia="zh-CN"/>
              </w:rPr>
              <w:t>可充电电池供电，避免市电干扰，电池为可更换设计，方便用户自行更换（提供含网站链接的官网截图或彩页资料证明）；</w:t>
            </w:r>
          </w:p>
          <w:p w14:paraId="383176D1">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1.11为方便携带，放大器与电源重量不能超过2kg；</w:t>
            </w:r>
          </w:p>
          <w:p w14:paraId="2A73D6BE">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1.12脑电系统通过电磁兼容性认证并提供证明资料；</w:t>
            </w:r>
          </w:p>
          <w:p w14:paraId="3A93684D">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1.13 配套提供专用USB电缆≥2套，其规格应足以满足整套设备的正常连接及数据传输使用要求；</w:t>
            </w:r>
          </w:p>
          <w:p w14:paraId="090A052B">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二、电极帽系统</w:t>
            </w:r>
          </w:p>
          <w:p w14:paraId="340C3E49">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2.1 电极系统材质为Ag/AgCl电极</w:t>
            </w:r>
            <w:r>
              <w:rPr>
                <w:rFonts w:hint="eastAsia" w:ascii="宋体" w:hAnsi="宋体" w:cs="Times New Roman"/>
                <w:bCs w:val="0"/>
                <w:kern w:val="0"/>
                <w:sz w:val="18"/>
                <w:szCs w:val="18"/>
                <w:lang w:val="en-US" w:eastAsia="zh-CN"/>
              </w:rPr>
              <w:t>，64通道电极</w:t>
            </w:r>
            <w:r>
              <w:rPr>
                <w:rFonts w:hint="eastAsia" w:ascii="宋体" w:hAnsi="宋体" w:eastAsia="宋体" w:cs="Times New Roman"/>
                <w:bCs w:val="0"/>
                <w:kern w:val="0"/>
                <w:sz w:val="18"/>
                <w:szCs w:val="18"/>
                <w:lang w:val="en-US" w:eastAsia="zh-CN"/>
              </w:rPr>
              <w:t>≥</w:t>
            </w:r>
            <w:r>
              <w:rPr>
                <w:rFonts w:hint="eastAsia" w:ascii="宋体" w:hAnsi="宋体" w:cs="Times New Roman"/>
                <w:bCs w:val="0"/>
                <w:kern w:val="0"/>
                <w:sz w:val="18"/>
                <w:szCs w:val="18"/>
                <w:lang w:val="en-US" w:eastAsia="zh-CN"/>
              </w:rPr>
              <w:t>2套</w:t>
            </w:r>
            <w:r>
              <w:rPr>
                <w:rFonts w:hint="eastAsia" w:ascii="宋体" w:hAnsi="宋体" w:eastAsia="宋体" w:cs="Times New Roman"/>
                <w:bCs w:val="0"/>
                <w:kern w:val="0"/>
                <w:sz w:val="18"/>
                <w:szCs w:val="18"/>
                <w:lang w:val="en-US" w:eastAsia="zh-CN"/>
              </w:rPr>
              <w:t>；</w:t>
            </w:r>
          </w:p>
          <w:p w14:paraId="4C16407F">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2.2</w:t>
            </w:r>
            <w:r>
              <w:rPr>
                <w:rFonts w:hint="eastAsia" w:ascii="宋体" w:hAnsi="宋体" w:eastAsia="宋体" w:cs="Times New Roman"/>
                <w:bCs w:val="0"/>
                <w:kern w:val="0"/>
                <w:sz w:val="18"/>
                <w:szCs w:val="18"/>
                <w:lang w:val="en-US" w:eastAsia="zh-CN"/>
              </w:rPr>
              <w:t xml:space="preserve"> 电极采用模块化设计，单根电极可拆卸设计，替换更为方便（提供含网站链接的官网截图或彩页资料证明）；</w:t>
            </w:r>
          </w:p>
          <w:p w14:paraId="67CC3A39">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2.3</w:t>
            </w:r>
            <w:r>
              <w:rPr>
                <w:rFonts w:hint="eastAsia" w:ascii="宋体" w:hAnsi="宋体" w:eastAsia="宋体" w:cs="Times New Roman"/>
                <w:bCs w:val="0"/>
                <w:kern w:val="0"/>
                <w:sz w:val="18"/>
                <w:szCs w:val="18"/>
                <w:lang w:val="en-US" w:eastAsia="zh-CN"/>
              </w:rPr>
              <w:t>使用者通过观察电极帽上的电极灯光颜色即可实时监控到到电极与头皮的接触情况（提供含网站链接的官网截图或彩页资料证明）；</w:t>
            </w:r>
          </w:p>
          <w:p w14:paraId="5FCF22EA">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2.4导电介质为膏状不易挥发也不需要实验中途添加，阻抗为降至5KOhms以下且可稳定维持1.5-3小时；</w:t>
            </w:r>
          </w:p>
          <w:p w14:paraId="3D744BC7">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2.5</w:t>
            </w:r>
            <w:r>
              <w:rPr>
                <w:rFonts w:hint="eastAsia" w:ascii="宋体" w:hAnsi="宋体" w:eastAsia="宋体" w:cs="Times New Roman"/>
                <w:bCs w:val="0"/>
                <w:kern w:val="0"/>
                <w:sz w:val="18"/>
                <w:szCs w:val="18"/>
                <w:lang w:val="en-US" w:eastAsia="zh-CN"/>
              </w:rPr>
              <w:t>电极系统直接支持与TMS、fNIRS设备同步采集,无需更换电极系统，能提供官方网站说明或提供实例图；</w:t>
            </w:r>
          </w:p>
          <w:p w14:paraId="31457E24">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 xml:space="preserve">2.6 </w:t>
            </w:r>
            <w:r>
              <w:rPr>
                <w:rFonts w:hint="eastAsia" w:ascii="宋体" w:hAnsi="宋体" w:eastAsia="宋体" w:cs="Times New Roman"/>
                <w:bCs w:val="0"/>
                <w:kern w:val="0"/>
                <w:sz w:val="18"/>
                <w:szCs w:val="18"/>
                <w:lang w:val="en-US" w:eastAsia="zh-CN"/>
              </w:rPr>
              <w:t>设备可支持被动电极及电极帽、主动电极及电极帽、盐水电极及电极帽、干电极系统及电极帽</w:t>
            </w:r>
            <w:r>
              <w:rPr>
                <w:rFonts w:hint="eastAsia" w:ascii="宋体" w:hAnsi="宋体" w:cs="Times New Roman"/>
                <w:bCs w:val="0"/>
                <w:kern w:val="0"/>
                <w:sz w:val="18"/>
                <w:szCs w:val="18"/>
                <w:lang w:val="en-US" w:eastAsia="zh-CN"/>
              </w:rPr>
              <w:t>，64通道电极帽子皮</w:t>
            </w:r>
            <w:r>
              <w:rPr>
                <w:rFonts w:hint="eastAsia" w:ascii="宋体" w:hAnsi="宋体" w:eastAsia="宋体" w:cs="Times New Roman"/>
                <w:bCs w:val="0"/>
                <w:kern w:val="0"/>
                <w:sz w:val="18"/>
                <w:szCs w:val="18"/>
                <w:lang w:val="en-US" w:eastAsia="zh-CN"/>
              </w:rPr>
              <w:t>≥</w:t>
            </w:r>
            <w:r>
              <w:rPr>
                <w:rFonts w:hint="eastAsia" w:ascii="宋体" w:hAnsi="宋体" w:cs="Times New Roman"/>
                <w:bCs w:val="0"/>
                <w:kern w:val="0"/>
                <w:sz w:val="18"/>
                <w:szCs w:val="18"/>
                <w:lang w:val="en-US" w:eastAsia="zh-CN"/>
              </w:rPr>
              <w:t>4套，128通道电极帽子皮</w:t>
            </w:r>
            <w:r>
              <w:rPr>
                <w:rFonts w:hint="eastAsia" w:ascii="宋体" w:hAnsi="宋体" w:eastAsia="宋体" w:cs="Times New Roman"/>
                <w:bCs w:val="0"/>
                <w:kern w:val="0"/>
                <w:sz w:val="18"/>
                <w:szCs w:val="18"/>
                <w:lang w:val="en-US" w:eastAsia="zh-CN"/>
              </w:rPr>
              <w:t>≥</w:t>
            </w:r>
            <w:r>
              <w:rPr>
                <w:rFonts w:hint="eastAsia" w:ascii="宋体" w:hAnsi="宋体" w:cs="Times New Roman"/>
                <w:bCs w:val="0"/>
                <w:kern w:val="0"/>
                <w:sz w:val="18"/>
                <w:szCs w:val="18"/>
                <w:lang w:val="en-US" w:eastAsia="zh-CN"/>
              </w:rPr>
              <w:t>1套，64通道盐水电极帽（含电极）</w:t>
            </w:r>
            <w:r>
              <w:rPr>
                <w:rFonts w:hint="eastAsia" w:ascii="宋体" w:hAnsi="宋体" w:eastAsia="宋体" w:cs="Times New Roman"/>
                <w:bCs w:val="0"/>
                <w:kern w:val="0"/>
                <w:sz w:val="18"/>
                <w:szCs w:val="18"/>
                <w:lang w:val="en-US" w:eastAsia="zh-CN"/>
              </w:rPr>
              <w:t>≥</w:t>
            </w:r>
            <w:r>
              <w:rPr>
                <w:rFonts w:hint="eastAsia" w:ascii="宋体" w:hAnsi="宋体" w:cs="Times New Roman"/>
                <w:bCs w:val="0"/>
                <w:kern w:val="0"/>
                <w:sz w:val="18"/>
                <w:szCs w:val="18"/>
                <w:lang w:val="en-US" w:eastAsia="zh-CN"/>
              </w:rPr>
              <w:t>1套</w:t>
            </w:r>
            <w:r>
              <w:rPr>
                <w:rFonts w:hint="eastAsia" w:ascii="宋体" w:hAnsi="宋体" w:eastAsia="宋体" w:cs="Times New Roman"/>
                <w:bCs w:val="0"/>
                <w:kern w:val="0"/>
                <w:sz w:val="18"/>
                <w:szCs w:val="18"/>
                <w:lang w:val="en-US" w:eastAsia="zh-CN"/>
              </w:rPr>
              <w:t>；</w:t>
            </w:r>
          </w:p>
          <w:p w14:paraId="067F7044">
            <w:pPr>
              <w:pStyle w:val="7"/>
              <w:widowControl/>
              <w:spacing w:line="240" w:lineRule="auto"/>
              <w:jc w:val="left"/>
              <w:rPr>
                <w:rFonts w:hint="default"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2.7 配套提供导电膏≥4桶</w:t>
            </w:r>
            <w:r>
              <w:rPr>
                <w:rFonts w:hint="eastAsia" w:ascii="宋体" w:hAnsi="宋体" w:cs="Times New Roman"/>
                <w:bCs w:val="0"/>
                <w:kern w:val="0"/>
                <w:sz w:val="18"/>
                <w:szCs w:val="18"/>
                <w:lang w:val="en-US" w:eastAsia="zh-CN"/>
              </w:rPr>
              <w:t>，</w:t>
            </w:r>
            <w:r>
              <w:rPr>
                <w:rFonts w:hint="eastAsia" w:ascii="宋体" w:hAnsi="宋体" w:eastAsia="宋体" w:cs="Times New Roman"/>
                <w:bCs w:val="0"/>
                <w:kern w:val="0"/>
                <w:sz w:val="18"/>
                <w:szCs w:val="18"/>
                <w:lang w:val="en-US" w:eastAsia="zh-CN"/>
              </w:rPr>
              <w:t>磨砂膏≥4支</w:t>
            </w:r>
            <w:r>
              <w:rPr>
                <w:rFonts w:hint="eastAsia" w:ascii="宋体" w:hAnsi="宋体" w:cs="Times New Roman"/>
                <w:bCs w:val="0"/>
                <w:kern w:val="0"/>
                <w:sz w:val="18"/>
                <w:szCs w:val="18"/>
                <w:lang w:val="en-US" w:eastAsia="zh-CN"/>
              </w:rPr>
              <w:t>，</w:t>
            </w:r>
            <w:r>
              <w:rPr>
                <w:rFonts w:hint="eastAsia" w:ascii="宋体" w:hAnsi="宋体" w:eastAsia="宋体" w:cs="Times New Roman"/>
                <w:bCs w:val="0"/>
                <w:kern w:val="0"/>
                <w:sz w:val="18"/>
                <w:szCs w:val="18"/>
                <w:lang w:val="en-US" w:eastAsia="zh-CN"/>
              </w:rPr>
              <w:t>黑色便携箱≥2个以及放大器启动套件（含注射针、测量卷尺、平头针等）≥2套，其规格应足以满足整套设备的正常使用要求；</w:t>
            </w:r>
          </w:p>
          <w:p w14:paraId="45EE0977">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三、刺激与采集软件</w:t>
            </w:r>
          </w:p>
          <w:p w14:paraId="34053541">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3.1 刺激软件可自由编程，可实现声音、文字、文本、图片等不同类型的实验程序</w:t>
            </w:r>
            <w:r>
              <w:rPr>
                <w:rFonts w:hint="eastAsia" w:ascii="宋体" w:hAnsi="宋体" w:cs="Times New Roman"/>
                <w:bCs w:val="0"/>
                <w:kern w:val="0"/>
                <w:sz w:val="18"/>
                <w:szCs w:val="18"/>
                <w:lang w:val="en-US" w:eastAsia="zh-CN"/>
              </w:rPr>
              <w:t>，</w:t>
            </w:r>
            <w:r>
              <w:rPr>
                <w:rFonts w:hint="default" w:ascii="宋体" w:hAnsi="宋体" w:eastAsia="宋体" w:cs="Times New Roman"/>
                <w:bCs w:val="0"/>
                <w:kern w:val="0"/>
                <w:sz w:val="18"/>
                <w:szCs w:val="18"/>
                <w:lang w:val="en-US" w:eastAsia="zh-CN"/>
              </w:rPr>
              <w:t>刺激软件</w:t>
            </w:r>
            <w:r>
              <w:rPr>
                <w:rFonts w:hint="eastAsia" w:ascii="宋体" w:hAnsi="宋体" w:eastAsia="宋体" w:cs="Times New Roman"/>
                <w:bCs w:val="0"/>
                <w:kern w:val="0"/>
                <w:sz w:val="18"/>
                <w:szCs w:val="18"/>
                <w:lang w:val="en-US" w:eastAsia="zh-CN"/>
              </w:rPr>
              <w:t>≥ 2套；</w:t>
            </w:r>
          </w:p>
          <w:p w14:paraId="2D66BCD4">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3.2具有独立的数据采集软件，保证数据采集时可以同时分析其它数据</w:t>
            </w:r>
            <w:r>
              <w:rPr>
                <w:rFonts w:hint="eastAsia" w:ascii="宋体" w:hAnsi="宋体" w:cs="Times New Roman"/>
                <w:bCs w:val="0"/>
                <w:kern w:val="0"/>
                <w:sz w:val="18"/>
                <w:szCs w:val="18"/>
                <w:lang w:val="en-US" w:eastAsia="zh-CN"/>
              </w:rPr>
              <w:t>，</w:t>
            </w:r>
            <w:r>
              <w:rPr>
                <w:rFonts w:hint="default" w:ascii="宋体" w:hAnsi="宋体" w:eastAsia="宋体" w:cs="Times New Roman"/>
                <w:bCs w:val="0"/>
                <w:kern w:val="0"/>
                <w:sz w:val="18"/>
                <w:szCs w:val="18"/>
                <w:lang w:val="en-US" w:eastAsia="zh-CN"/>
              </w:rPr>
              <w:t>采集软件</w:t>
            </w:r>
            <w:r>
              <w:rPr>
                <w:rFonts w:hint="eastAsia" w:ascii="宋体" w:hAnsi="宋体" w:eastAsia="宋体" w:cs="Times New Roman"/>
                <w:bCs w:val="0"/>
                <w:kern w:val="0"/>
                <w:sz w:val="18"/>
                <w:szCs w:val="18"/>
                <w:lang w:val="en-US" w:eastAsia="zh-CN"/>
              </w:rPr>
              <w:t>≥2套；</w:t>
            </w:r>
          </w:p>
          <w:p w14:paraId="01C9A5F8">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3.3 采集软件可直接在数据上显示事件相关标记，可自动进行阻抗测试，采用鲜明的颜色区分阻抗的好与坏；</w:t>
            </w:r>
          </w:p>
          <w:p w14:paraId="26EF68BA">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3.4可配套开源采集软件，提供RDA开发包，支持matlab、python环境下的开发工具；</w:t>
            </w:r>
          </w:p>
          <w:p w14:paraId="09FD860F">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3.5 采集软件自带在线分析功能，可实时观测实验数据；</w:t>
            </w:r>
          </w:p>
          <w:p w14:paraId="3A7960D7">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3.6 可自由设置采集软件的相关参数，如滤波、基线校准等功能；</w:t>
            </w:r>
          </w:p>
          <w:p w14:paraId="287BFDE6">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四、 分析软件</w:t>
            </w:r>
          </w:p>
          <w:p w14:paraId="72DEEBFE">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4.1</w:t>
            </w:r>
            <w:r>
              <w:rPr>
                <w:rFonts w:hint="eastAsia" w:ascii="宋体" w:hAnsi="宋体" w:eastAsia="宋体" w:cs="Times New Roman"/>
                <w:bCs w:val="0"/>
                <w:kern w:val="0"/>
                <w:sz w:val="18"/>
                <w:szCs w:val="18"/>
                <w:lang w:val="en-US" w:eastAsia="zh-CN"/>
              </w:rPr>
              <w:t xml:space="preserve"> 采用独立的分析软件，保证采集数据不受影响，软件采用加密狗形式进行认证，可直接兼容可读取和处理多种格式的脑电数据，如十进制文本、ASCII类型等超过25种数据格式（提供含网站链接的官网截图或彩页资料证明）；</w:t>
            </w:r>
          </w:p>
          <w:p w14:paraId="7207DDB5">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4.2具备眼动伪迹函数校正、基线自动校正、ICA/PCA、FFT、小波变换、叠加平均、参考电极更换、滤波、二维脑电地形图制作等功能；</w:t>
            </w:r>
          </w:p>
          <w:p w14:paraId="2BA18909">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4.3软件提供2D脑地形图、3D脑地形图，支持修正核磁干扰、修正TMS干扰、修正心电干扰等功能；</w:t>
            </w:r>
          </w:p>
          <w:p w14:paraId="0B7435EF">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4.4 模块化结构的脑事件相关电位分析软件，可提供时域、频域、时频域的各种数据分析模式；</w:t>
            </w:r>
          </w:p>
          <w:p w14:paraId="12E55914">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4.5 分析软件直接集成Loreta源定位算法，并可实时与Matlab相互转换；</w:t>
            </w:r>
          </w:p>
          <w:p w14:paraId="674CD558">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4.6</w:t>
            </w:r>
            <w:r>
              <w:rPr>
                <w:rFonts w:hint="eastAsia" w:ascii="宋体" w:hAnsi="宋体" w:eastAsia="宋体" w:cs="Times New Roman"/>
                <w:bCs w:val="0"/>
                <w:kern w:val="0"/>
                <w:sz w:val="18"/>
                <w:szCs w:val="18"/>
                <w:lang w:val="en-US" w:eastAsia="zh-CN"/>
              </w:rPr>
              <w:t>采用“History trees”记录方式，可自动记录数据处理的每个操作，并可基于这些操作生产操作模版，能自动此模版进行数据批处理，树状结构软件界面需提供产品截图；</w:t>
            </w:r>
          </w:p>
          <w:p w14:paraId="3FD6CFBD">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4.7 兼容全球多种厂家EEG/ERP数据分析</w:t>
            </w:r>
            <w:bookmarkStart w:id="0" w:name="_GoBack"/>
            <w:bookmarkEnd w:id="0"/>
            <w:r>
              <w:rPr>
                <w:rFonts w:hint="eastAsia" w:ascii="宋体" w:hAnsi="宋体" w:eastAsia="宋体" w:cs="Times New Roman"/>
                <w:bCs w:val="0"/>
                <w:kern w:val="0"/>
                <w:sz w:val="18"/>
                <w:szCs w:val="18"/>
                <w:lang w:val="en-US" w:eastAsia="zh-CN"/>
              </w:rPr>
              <w:t>，便于学术交流；</w:t>
            </w:r>
          </w:p>
          <w:p w14:paraId="28C4FC2D">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五、高性能数据采集与分析计算单元</w:t>
            </w:r>
          </w:p>
          <w:p w14:paraId="6E230608">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5.1 处理器核心数≥16（Intel Xeon或AMD同级别）；</w:t>
            </w:r>
          </w:p>
          <w:p w14:paraId="56255169">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5.2 内存≥64 GB DDR5 ECC；</w:t>
            </w:r>
          </w:p>
          <w:p w14:paraId="6E891CC8">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5.3 独立显卡，显存≥32GB，显存带宽≥1.7TB/s，FP32算力≥100 TFLOPS，INT8稀疏算力≥2000 TOPS；</w:t>
            </w:r>
          </w:p>
          <w:p w14:paraId="4184F299">
            <w:pPr>
              <w:pStyle w:val="7"/>
              <w:widowControl/>
              <w:spacing w:line="240" w:lineRule="auto"/>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5.4 固态硬盘（系统盘）≥1 TB（支持PCIe 5.0），机械硬盘（数据盘）≥4 TB；</w:t>
            </w:r>
          </w:p>
          <w:p w14:paraId="67000249">
            <w:pPr>
              <w:pStyle w:val="7"/>
              <w:widowControl/>
              <w:spacing w:line="240" w:lineRule="auto"/>
              <w:jc w:val="left"/>
              <w:rPr>
                <w:rFonts w:hint="eastAsia" w:ascii="宋体" w:hAnsi="宋体" w:eastAsia="宋体" w:cs="Times New Roman"/>
                <w:bCs w:val="0"/>
                <w:kern w:val="0"/>
                <w:sz w:val="18"/>
                <w:szCs w:val="18"/>
                <w:lang w:val="en-US" w:eastAsia="zh-CN"/>
              </w:rPr>
            </w:pPr>
          </w:p>
          <w:p w14:paraId="444576C3">
            <w:pPr>
              <w:pStyle w:val="7"/>
              <w:widowControl/>
              <w:spacing w:line="240" w:lineRule="auto"/>
              <w:jc w:val="left"/>
              <w:rPr>
                <w:rFonts w:hint="eastAsia" w:ascii="宋体" w:hAnsi="宋体" w:eastAsia="宋体" w:cs="Times New Roman"/>
                <w:bCs w:val="0"/>
                <w:kern w:val="0"/>
                <w:sz w:val="18"/>
                <w:szCs w:val="18"/>
                <w:lang w:val="en-US" w:eastAsia="zh-CN"/>
              </w:rPr>
            </w:pPr>
          </w:p>
        </w:tc>
      </w:tr>
    </w:tbl>
    <w:p w14:paraId="21622F5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565BCF"/>
    <w:rsid w:val="00225378"/>
    <w:rsid w:val="124B20C1"/>
    <w:rsid w:val="125A22EC"/>
    <w:rsid w:val="129640D0"/>
    <w:rsid w:val="1FD71EF2"/>
    <w:rsid w:val="230B0664"/>
    <w:rsid w:val="23A61C99"/>
    <w:rsid w:val="25A42208"/>
    <w:rsid w:val="27FA25B3"/>
    <w:rsid w:val="2B22254D"/>
    <w:rsid w:val="2D565BCF"/>
    <w:rsid w:val="2F842D48"/>
    <w:rsid w:val="2FC30454"/>
    <w:rsid w:val="30C714A1"/>
    <w:rsid w:val="32650F71"/>
    <w:rsid w:val="339A4C4A"/>
    <w:rsid w:val="38156A4F"/>
    <w:rsid w:val="393D0552"/>
    <w:rsid w:val="418D5DEE"/>
    <w:rsid w:val="432B58BF"/>
    <w:rsid w:val="4C801997"/>
    <w:rsid w:val="4E964534"/>
    <w:rsid w:val="51FC4FF6"/>
    <w:rsid w:val="52FA185E"/>
    <w:rsid w:val="574014B2"/>
    <w:rsid w:val="5DDA7011"/>
    <w:rsid w:val="61887EAB"/>
    <w:rsid w:val="630C2BBF"/>
    <w:rsid w:val="63750765"/>
    <w:rsid w:val="64CA2DB3"/>
    <w:rsid w:val="6CB57E24"/>
    <w:rsid w:val="6E196330"/>
    <w:rsid w:val="6F6124E5"/>
    <w:rsid w:val="7BAB75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bCs/>
      <w:kern w:val="2"/>
      <w:sz w:val="28"/>
      <w:szCs w:val="28"/>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
    <w:name w:val="网格型8"/>
    <w:basedOn w:val="3"/>
    <w:autoRedefine/>
    <w:qFormat/>
    <w:uiPriority w:val="59"/>
    <w:pPr>
      <w:widowControl w:val="0"/>
    </w:pPr>
    <w:rPr>
      <w:rFonts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正文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1580</Words>
  <Characters>1847</Characters>
  <Lines>0</Lines>
  <Paragraphs>0</Paragraphs>
  <TotalTime>16</TotalTime>
  <ScaleCrop>false</ScaleCrop>
  <LinksUpToDate>false</LinksUpToDate>
  <CharactersWithSpaces>1889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2026-06-02T13:54:00Z</dcterms:created>
  <dc:creator>侥幸</dc:creator>
  <cp:lastModifiedBy>张帅磊</cp:lastModifiedBy>
  <dcterms:modified xsi:type="dcterms:W3CDTF">2026-07-18T15:31:43Z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070EF0CBF6204138AA6FC886C2D8113E_13</vt:lpwstr>
  </property>
  <property fmtid="{D5CDD505-2E9C-101B-9397-08002B2CF9AE}" pid="4" name="KSOTemplateDocerSaveRecord">
    <vt:lpwstr>eyJoZGlkIjoiNjYyYjlhM2M2MGNmMTIyZTcwMjdiYzk2NTYzYTc0NDciLCJ1c2VySWQiOiIxNzg0MDE3NjYyIn0=</vt:lpwstr>
  </property>
</Properties>
</file>