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DF4DC7">
      <w:pPr>
        <w:spacing w:line="276" w:lineRule="auto"/>
        <w:jc w:val="center"/>
        <w:rPr>
          <w:rFonts w:ascii="宋体" w:hAnsi="宋体" w:eastAsia="宋体" w:cs="方正小标宋简体"/>
          <w:b/>
          <w:bCs/>
          <w:sz w:val="32"/>
          <w:szCs w:val="32"/>
        </w:rPr>
      </w:pPr>
      <w:r>
        <w:rPr>
          <w:rFonts w:hint="eastAsia" w:ascii="宋体" w:hAnsi="宋体" w:eastAsia="宋体" w:cs="方正小标宋简体"/>
          <w:b/>
          <w:bCs/>
          <w:sz w:val="32"/>
          <w:szCs w:val="32"/>
        </w:rPr>
        <w:t>固体进样总有机碳分析仪采购项目</w:t>
      </w:r>
    </w:p>
    <w:p w14:paraId="1112F43F">
      <w:pPr>
        <w:adjustRightInd w:val="0"/>
        <w:snapToGrid w:val="0"/>
        <w:jc w:val="center"/>
        <w:rPr>
          <w:rFonts w:ascii="宋体" w:hAnsi="宋体" w:eastAsia="宋体" w:cs="方正小标宋简体"/>
          <w:b/>
          <w:bCs/>
          <w:sz w:val="36"/>
          <w:szCs w:val="36"/>
          <w:lang w:val="zh-CN"/>
        </w:rPr>
      </w:pPr>
      <w:r>
        <w:rPr>
          <w:rFonts w:hint="eastAsia" w:ascii="宋体" w:hAnsi="宋体" w:eastAsia="宋体" w:cs="方正小标宋简体"/>
          <w:b/>
          <w:bCs/>
          <w:sz w:val="36"/>
          <w:szCs w:val="36"/>
          <w:lang w:val="zh-CN"/>
        </w:rPr>
        <w:t>商务要求</w:t>
      </w:r>
    </w:p>
    <w:p w14:paraId="2D556B87">
      <w:pPr>
        <w:pStyle w:val="16"/>
        <w:kinsoku w:val="0"/>
        <w:overflowPunct w:val="0"/>
        <w:autoSpaceDE w:val="0"/>
        <w:autoSpaceDN w:val="0"/>
        <w:ind w:firstLine="0" w:firstLineChars="0"/>
        <w:outlineLvl w:val="0"/>
        <w:rPr>
          <w:rFonts w:ascii="黑体" w:hAnsi="黑体" w:eastAsia="黑体" w:cs="黑体"/>
          <w:bCs/>
          <w:sz w:val="24"/>
          <w:szCs w:val="24"/>
          <w:lang w:val="zh-CN"/>
        </w:rPr>
      </w:pPr>
      <w:r>
        <w:rPr>
          <w:rFonts w:hint="eastAsia" w:ascii="黑体" w:hAnsi="黑体" w:eastAsia="黑体" w:cs="黑体"/>
          <w:bCs/>
          <w:sz w:val="24"/>
          <w:szCs w:val="24"/>
        </w:rPr>
        <w:t>一、</w:t>
      </w:r>
      <w:r>
        <w:rPr>
          <w:rFonts w:hint="eastAsia" w:ascii="黑体" w:hAnsi="黑体" w:eastAsia="黑体" w:cs="黑体"/>
          <w:bCs/>
          <w:sz w:val="24"/>
          <w:szCs w:val="24"/>
          <w:lang w:val="zh-CN"/>
        </w:rPr>
        <w:t>技术服务</w:t>
      </w:r>
    </w:p>
    <w:p w14:paraId="410AE8A5">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1.设备安装、调试和验收（在合同签订后执行）</w:t>
      </w:r>
    </w:p>
    <w:p w14:paraId="5A8BCA2C">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1.1中标人应在合同生效后的1</w:t>
      </w:r>
      <w:r>
        <w:rPr>
          <w:rFonts w:hint="eastAsia" w:ascii="方正仿宋_GB2312" w:hAnsi="方正仿宋_GB2312" w:eastAsia="方正仿宋_GB2312" w:cs="方正仿宋_GB2312"/>
          <w:sz w:val="24"/>
          <w:szCs w:val="24"/>
        </w:rPr>
        <w:t>个月内向采购人提供详细的安装要求及安装计划，并提供技术咨询。设备安装、调试的费用由中标人承担。</w:t>
      </w:r>
    </w:p>
    <w:p w14:paraId="3FD7D7B8">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1.2中标人提供仪器易损、易耗备件清单，随机一起交付；仪器到达采购人指定地点，在接到采购人通知后一周内进行安装调试及精度检测。逾期供货或安装、调试，都需对用户进行赔偿补偿，具体赔偿金额由双方协商解决。</w:t>
      </w:r>
    </w:p>
    <w:p w14:paraId="567B9099">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1.3如果由于仪器本身原因而在3个月内调试没有通过，可返厂维修，或更换一套全新的相同型号配置仪器。</w:t>
      </w:r>
    </w:p>
    <w:p w14:paraId="5D6726DB">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1.4返厂维修周期不得超过3个月，次数不得超过2次，否则必须更换一套全新的相同型号配置或符合技术性能要求的仪器设备。采购人认定的特殊仪器设备可延长调试时间。</w:t>
      </w:r>
    </w:p>
    <w:p w14:paraId="594A8144">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2.技术培训</w:t>
      </w:r>
    </w:p>
    <w:p w14:paraId="1A4DE226">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2.1设备安装调试完成后，中标人应对采购</w:t>
      </w:r>
      <w:r>
        <w:rPr>
          <w:rFonts w:hint="eastAsia" w:ascii="方正仿宋_GB2312" w:hAnsi="方正仿宋_GB2312" w:eastAsia="方正仿宋_GB2312" w:cs="方正仿宋_GB2312"/>
          <w:sz w:val="24"/>
          <w:szCs w:val="24"/>
        </w:rPr>
        <w:t>人用户技术人员进行调试、操作、仪器维护、故障排除等方面的免费现场培训。</w:t>
      </w:r>
    </w:p>
    <w:p w14:paraId="38E99A7B">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2.2初级培训：仪器安装调试完，验收前，中标人工程师在现场就仪器的维护、基本操作、日常保养、潜在故障分析等各方面提供2人以上免费初步培训，培训周期不少于2天。</w:t>
      </w:r>
    </w:p>
    <w:p w14:paraId="74D82FE1">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2.3应用培训：在初级培训结束后，待采购人使用一段时间，中标人派遣专门的应用工程师到客户现场进行高级应用培训。2人以上免费培训时间不少于2天，具体培训内容与日期由双方协商确定。</w:t>
      </w:r>
    </w:p>
    <w:p w14:paraId="24B1CAB8">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3.保修期</w:t>
      </w:r>
    </w:p>
    <w:p w14:paraId="53BAB19C">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 xml:space="preserve">3.1提供不低于12个月的整机免费保修，保修期从采购人组织验收且验收合格之日起计算。保修范围包括仪器所有硬件、维护包包含的全套附件等；保修期内，免费提供所需耗材和用品，同时如果任何零配件损坏，中标人免费更换和安装一个设备原厂的相关配件；对于同一部位出现 2 </w:t>
      </w:r>
      <w:r>
        <w:rPr>
          <w:rFonts w:hint="eastAsia" w:ascii="方正仿宋_GB2312" w:hAnsi="方正仿宋_GB2312" w:eastAsia="方正仿宋_GB2312" w:cs="方正仿宋_GB2312"/>
          <w:sz w:val="24"/>
          <w:szCs w:val="24"/>
        </w:rPr>
        <w:t>次以上故障，中标人应当免费更换该部件。保修期间维修及零件更换费用、人工及差旅费等费用全部由中标人负担（人为损坏除外）。</w:t>
      </w:r>
    </w:p>
    <w:p w14:paraId="3C3C936D">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3.2在保修期内，如货品非因采购人的人为原因而出现的问题由中标人负责保修，并承担修理的实际费用。在保修期内，如设备或零部件因非人为因素出现故障而造成短期停用的，经双方确认后，保修期相应顺延，顺延期限由双方协商确定。</w:t>
      </w:r>
    </w:p>
    <w:p w14:paraId="7AF089B2">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4.中标人提供终身维修服务</w:t>
      </w:r>
    </w:p>
    <w:p w14:paraId="78DF6E57">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4.1保证不低于十五年的零配件供应。若制造商厂家决定停止生产某种备品备件，中标人应提前6个月通知采购人，以便采购人购买足够的备品备件。在质保期内，厂商技术工程师每年进行至少两次现场免费检修，以保证采购</w:t>
      </w:r>
      <w:r>
        <w:rPr>
          <w:rFonts w:hint="eastAsia" w:ascii="方正仿宋_GB2312" w:hAnsi="方正仿宋_GB2312" w:eastAsia="方正仿宋_GB2312" w:cs="方正仿宋_GB2312"/>
          <w:sz w:val="24"/>
          <w:szCs w:val="24"/>
        </w:rPr>
        <w:t>人设备的正常运行。</w:t>
      </w:r>
    </w:p>
    <w:p w14:paraId="2E990966">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4.2过保修期后配件、耗材按不高于市场价的7折提供。</w:t>
      </w:r>
    </w:p>
    <w:p w14:paraId="400A6965">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5.维修响应时间</w:t>
      </w:r>
    </w:p>
    <w:p w14:paraId="6A7A0B46">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5.1中标人应在24小时内对采购人的服务要求做出响应，2天内到达仪器现场（节假日除外），维修服务包括远程指导和现场维修。如仪器发生重大问题或其他无法立刻解决的问题应在一周内解决或提出明确解决方案，如因中标</w:t>
      </w:r>
      <w:r>
        <w:rPr>
          <w:rFonts w:hint="eastAsia" w:ascii="方正仿宋_GB2312" w:hAnsi="方正仿宋_GB2312" w:eastAsia="方正仿宋_GB2312" w:cs="方正仿宋_GB2312"/>
          <w:sz w:val="24"/>
          <w:szCs w:val="24"/>
        </w:rPr>
        <w:t>人原因不能及时修复，保修期将相应顺延。</w:t>
      </w:r>
    </w:p>
    <w:p w14:paraId="670F767C">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6.维修质量</w:t>
      </w:r>
    </w:p>
    <w:p w14:paraId="57416F21">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6.1</w:t>
      </w:r>
      <w:r>
        <w:rPr>
          <w:rFonts w:hint="eastAsia" w:ascii="方正仿宋_GB2312" w:hAnsi="方正仿宋_GB2312" w:eastAsia="方正仿宋_GB2312" w:cs="方正仿宋_GB2312"/>
          <w:sz w:val="24"/>
          <w:szCs w:val="24"/>
        </w:rPr>
        <w:t>要求中标人设有生产厂家授权具有合格资质的固定维修站，并配有专业维修工程师，保证提供及时优质的售后服务。生产厂家在中国具有备件库，它将包含设备重要的备品备件，一般在备件库中储备的配件问题在</w:t>
      </w:r>
      <w:r>
        <w:rPr>
          <w:rFonts w:ascii="方正仿宋_GB2312" w:hAnsi="方正仿宋_GB2312" w:eastAsia="方正仿宋_GB2312" w:cs="方正仿宋_GB2312"/>
          <w:sz w:val="24"/>
          <w:szCs w:val="24"/>
        </w:rPr>
        <w:t>7个工作日内解决</w:t>
      </w:r>
      <w:r>
        <w:rPr>
          <w:rFonts w:hint="eastAsia" w:ascii="方正仿宋_GB2312" w:hAnsi="方正仿宋_GB2312" w:eastAsia="方正仿宋_GB2312" w:cs="方正仿宋_GB2312"/>
          <w:sz w:val="24"/>
          <w:szCs w:val="24"/>
        </w:rPr>
        <w:t>，交货时间不得超过</w:t>
      </w:r>
      <w:r>
        <w:rPr>
          <w:rFonts w:ascii="方正仿宋_GB2312" w:hAnsi="方正仿宋_GB2312" w:eastAsia="方正仿宋_GB2312" w:cs="方正仿宋_GB2312"/>
          <w:sz w:val="24"/>
          <w:szCs w:val="24"/>
        </w:rPr>
        <w:t>28天。</w:t>
      </w:r>
      <w:r>
        <w:rPr>
          <w:rFonts w:hint="eastAsia" w:ascii="方正仿宋_GB2312" w:hAnsi="方正仿宋_GB2312" w:eastAsia="方正仿宋_GB2312" w:cs="方正仿宋_GB2312"/>
          <w:sz w:val="24"/>
          <w:szCs w:val="24"/>
        </w:rPr>
        <w:t>采购人有权要求误期赔偿费，每天赔偿费按该中标仪器故障出现前</w:t>
      </w:r>
      <w:r>
        <w:rPr>
          <w:rFonts w:ascii="方正仿宋_GB2312" w:hAnsi="方正仿宋_GB2312" w:eastAsia="方正仿宋_GB2312" w:cs="方正仿宋_GB2312"/>
          <w:sz w:val="24"/>
          <w:szCs w:val="24"/>
        </w:rPr>
        <w:t>6个月的平均日工作量对应价值计收，直至交货为止。</w:t>
      </w:r>
    </w:p>
    <w:p w14:paraId="0451170A">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7.软件升级</w:t>
      </w:r>
    </w:p>
    <w:p w14:paraId="35ED8A23">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7.1在硬件支持的前提下，终身免费为采购</w:t>
      </w:r>
      <w:r>
        <w:rPr>
          <w:rFonts w:hint="eastAsia" w:ascii="方正仿宋_GB2312" w:hAnsi="方正仿宋_GB2312" w:eastAsia="方正仿宋_GB2312" w:cs="方正仿宋_GB2312"/>
          <w:sz w:val="24"/>
          <w:szCs w:val="24"/>
        </w:rPr>
        <w:t>人用户提供软件升级服务。</w:t>
      </w:r>
    </w:p>
    <w:p w14:paraId="74D940B2">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8.提供设备装配总图、部件装配图、中文操作使用手册、中文维护手册、相关的软件备份、电气原理图、接线图等全套图纸资料随机一同交付，提供完整的产品出厂验收说明书。</w:t>
      </w:r>
    </w:p>
    <w:p w14:paraId="4D93E0A7">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9.验收</w:t>
      </w:r>
    </w:p>
    <w:p w14:paraId="3D1E4767">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 xml:space="preserve">9.1 </w:t>
      </w:r>
      <w:r>
        <w:rPr>
          <w:rFonts w:hint="eastAsia" w:ascii="方正仿宋_GB2312" w:hAnsi="方正仿宋_GB2312" w:eastAsia="方正仿宋_GB2312" w:cs="方正仿宋_GB2312"/>
          <w:sz w:val="24"/>
          <w:szCs w:val="24"/>
        </w:rPr>
        <w:t>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4DA60100">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 xml:space="preserve">9.2 </w:t>
      </w:r>
      <w:r>
        <w:rPr>
          <w:rFonts w:hint="eastAsia" w:ascii="方正仿宋_GB2312" w:hAnsi="方正仿宋_GB2312" w:eastAsia="方正仿宋_GB2312" w:cs="方正仿宋_GB2312"/>
          <w:sz w:val="24"/>
          <w:szCs w:val="24"/>
        </w:rPr>
        <w:t>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w:t>
      </w:r>
      <w:r>
        <w:rPr>
          <w:rFonts w:ascii="方正仿宋_GB2312" w:hAnsi="方正仿宋_GB2312" w:eastAsia="方正仿宋_GB2312" w:cs="方正仿宋_GB2312"/>
          <w:sz w:val="24"/>
          <w:szCs w:val="24"/>
        </w:rPr>
        <w:t xml:space="preserve"> 1 </w:t>
      </w:r>
      <w:r>
        <w:rPr>
          <w:rFonts w:hint="eastAsia" w:ascii="方正仿宋_GB2312" w:hAnsi="方正仿宋_GB2312" w:eastAsia="方正仿宋_GB2312" w:cs="方正仿宋_GB2312"/>
          <w:sz w:val="24"/>
          <w:szCs w:val="24"/>
        </w:rPr>
        <w:t>份详细报告，该报告将作为采购人在中标人有责任的情况下要求中标人进行更换、修理或补充发货的有效证据。同时中标人应及时地提出解决方案，并尽快地给以解决。</w:t>
      </w:r>
    </w:p>
    <w:p w14:paraId="74813AE2">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 xml:space="preserve">9.3 </w:t>
      </w:r>
      <w:r>
        <w:rPr>
          <w:rFonts w:hint="eastAsia" w:ascii="方正仿宋_GB2312" w:hAnsi="方正仿宋_GB2312" w:eastAsia="方正仿宋_GB2312" w:cs="方正仿宋_GB2312"/>
          <w:sz w:val="24"/>
          <w:szCs w:val="24"/>
        </w:rPr>
        <w:t>验收期限：仪器安装、调试、培训完毕后正常试运之后组织验收。中标人应派相关人员参加并协助采购人进行验收，验收流程与方法按采购人的规定执行。</w:t>
      </w:r>
    </w:p>
    <w:p w14:paraId="1CBCE0CC">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 xml:space="preserve">9.4 </w:t>
      </w:r>
      <w:r>
        <w:rPr>
          <w:rFonts w:hint="eastAsia" w:ascii="方正仿宋_GB2312" w:hAnsi="方正仿宋_GB2312" w:eastAsia="方正仿宋_GB2312" w:cs="方正仿宋_GB2312"/>
          <w:sz w:val="24"/>
          <w:szCs w:val="24"/>
        </w:rPr>
        <w:t>在采购人对主机、附件、软件的性能和功能进行测试合格基础上，由采购人授权人签字验收。</w:t>
      </w:r>
    </w:p>
    <w:p w14:paraId="1508ACC8">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10.其他要求</w:t>
      </w:r>
    </w:p>
    <w:p w14:paraId="08D930C1">
      <w:pPr>
        <w:adjustRightInd w:val="0"/>
        <w:snapToGrid w:val="0"/>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所有投标人必须提供技术成熟的定型产品，不接受通过改造才能达标的产品，不接受目前尚处于开发、设计、研制或试验阶段的产品。</w:t>
      </w:r>
    </w:p>
    <w:p w14:paraId="0F300327">
      <w:pPr>
        <w:pStyle w:val="16"/>
        <w:kinsoku w:val="0"/>
        <w:overflowPunct w:val="0"/>
        <w:autoSpaceDE w:val="0"/>
        <w:autoSpaceDN w:val="0"/>
        <w:ind w:firstLine="0" w:firstLineChars="0"/>
        <w:outlineLvl w:val="0"/>
        <w:rPr>
          <w:rFonts w:ascii="黑体" w:hAnsi="黑体" w:eastAsia="黑体" w:cs="黑体"/>
          <w:bCs/>
          <w:sz w:val="24"/>
          <w:szCs w:val="24"/>
        </w:rPr>
      </w:pPr>
      <w:r>
        <w:rPr>
          <w:rFonts w:hint="eastAsia" w:ascii="黑体" w:hAnsi="黑体" w:eastAsia="黑体" w:cs="黑体"/>
          <w:bCs/>
          <w:sz w:val="24"/>
          <w:szCs w:val="24"/>
        </w:rPr>
        <w:t>二、包装要求及运输方式</w:t>
      </w:r>
    </w:p>
    <w:p w14:paraId="3FF5BAFF">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1.包装要求，应使用崭新坚固的包装箱，适合于空运、海运或陆运等长途运输方式。适合气候变化、抗震、防潮、防雨、防锈、防冻。中标人应对任何由于不当包装或防护措施不利而导致的商品损坏、损失、锈蚀、费用增长等后果负责。</w:t>
      </w:r>
    </w:p>
    <w:p w14:paraId="51139B95">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2.在未收货前，货物保管、安全均由中标人负责。</w:t>
      </w:r>
    </w:p>
    <w:p w14:paraId="78447FE3">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3.提供的产品须为全新原装正品，相关配套附件质量优良，数量齐全。</w:t>
      </w:r>
    </w:p>
    <w:p w14:paraId="76EB22B8">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4.中标人需注明仪器设备的免费上门质保期限和具体的维修保障内容。在质保期满后，中标人应提供终身上门维修保养且仅收取成本费。</w:t>
      </w:r>
    </w:p>
    <w:p w14:paraId="359FE568">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5.采购人使用该设备的任何一部分，当受第三方提出的侵犯其专利权、商标权或工业设计权的投诉时，一切后果由中标人负责。</w:t>
      </w:r>
    </w:p>
    <w:p w14:paraId="5230844C">
      <w:pPr>
        <w:pStyle w:val="16"/>
        <w:kinsoku w:val="0"/>
        <w:overflowPunct w:val="0"/>
        <w:autoSpaceDE w:val="0"/>
        <w:autoSpaceDN w:val="0"/>
        <w:ind w:firstLine="0" w:firstLineChars="0"/>
        <w:outlineLvl w:val="0"/>
        <w:rPr>
          <w:rFonts w:ascii="黑体" w:hAnsi="黑体" w:eastAsia="黑体" w:cs="黑体"/>
          <w:bCs/>
          <w:sz w:val="24"/>
          <w:szCs w:val="24"/>
          <w:lang w:val="zh-CN"/>
        </w:rPr>
      </w:pPr>
      <w:r>
        <w:rPr>
          <w:rFonts w:hint="eastAsia" w:ascii="黑体" w:hAnsi="黑体" w:eastAsia="黑体" w:cs="黑体"/>
          <w:bCs/>
          <w:sz w:val="24"/>
          <w:szCs w:val="24"/>
          <w:lang w:val="zh-CN"/>
        </w:rPr>
        <w:t>三、付款方式与交货</w:t>
      </w:r>
    </w:p>
    <w:p w14:paraId="2A503652">
      <w:pPr>
        <w:adjustRightInd w:val="0"/>
        <w:snapToGrid w:val="0"/>
        <w:ind w:firstLine="480" w:firstLineChars="200"/>
        <w:rPr>
          <w:rFonts w:ascii="方正仿宋_GB2312" w:hAnsi="方正仿宋_GB2312" w:eastAsia="方正仿宋_GB2312" w:cs="方正仿宋_GB2312"/>
          <w:sz w:val="24"/>
          <w:szCs w:val="24"/>
        </w:rPr>
      </w:pPr>
      <w:bookmarkStart w:id="0" w:name="_Hlk79778165"/>
      <w:r>
        <w:rPr>
          <w:rFonts w:ascii="方正仿宋_GB2312" w:hAnsi="方正仿宋_GB2312" w:eastAsia="方正仿宋_GB2312" w:cs="方正仿宋_GB2312"/>
          <w:sz w:val="24"/>
          <w:szCs w:val="24"/>
        </w:rPr>
        <w:t>1.投标方报价中必须包括所有费用，即不需要再花费额外任何资金，仪器设备安装验收后就能正常工作使用。</w:t>
      </w:r>
    </w:p>
    <w:bookmarkEnd w:id="0"/>
    <w:p w14:paraId="6240B20B">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2.付款方式：</w:t>
      </w:r>
      <w:bookmarkStart w:id="1" w:name="_Hlk91771041"/>
    </w:p>
    <w:p w14:paraId="4C896807">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2.1</w:t>
      </w:r>
      <w:bookmarkEnd w:id="1"/>
      <w:r>
        <w:rPr>
          <w:rFonts w:hint="eastAsia" w:ascii="方正仿宋_GB2312" w:hAnsi="方正仿宋_GB2312" w:eastAsia="方正仿宋_GB2312" w:cs="方正仿宋_GB2312"/>
          <w:sz w:val="24"/>
          <w:szCs w:val="24"/>
        </w:rPr>
        <w:t>在验收合格之后，采购人向中标人支付合同全款的</w:t>
      </w:r>
      <w:r>
        <w:rPr>
          <w:rFonts w:ascii="方正仿宋_GB2312" w:hAnsi="方正仿宋_GB2312" w:eastAsia="方正仿宋_GB2312" w:cs="方正仿宋_GB2312"/>
          <w:sz w:val="24"/>
          <w:szCs w:val="24"/>
        </w:rPr>
        <w:t xml:space="preserve"> 100 %。</w:t>
      </w:r>
    </w:p>
    <w:p w14:paraId="4E68A192">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2.2</w:t>
      </w:r>
      <w:r>
        <w:rPr>
          <w:rFonts w:hint="eastAsia" w:ascii="方正仿宋_GB2312" w:hAnsi="方正仿宋_GB2312" w:eastAsia="方正仿宋_GB2312" w:cs="方正仿宋_GB2312"/>
          <w:sz w:val="24"/>
          <w:szCs w:val="24"/>
        </w:rPr>
        <w:t>采购人凭中标人提供的等额</w:t>
      </w:r>
      <w:r>
        <w:rPr>
          <w:rFonts w:hint="eastAsia" w:ascii="方正仿宋_GB2312" w:hAnsi="方正仿宋_GB2312" w:eastAsia="方正仿宋_GB2312" w:cs="方正仿宋_GB2312"/>
          <w:b/>
          <w:bCs/>
          <w:sz w:val="24"/>
          <w:szCs w:val="24"/>
        </w:rPr>
        <w:t>法定增值税专用发票</w:t>
      </w:r>
      <w:r>
        <w:rPr>
          <w:rFonts w:hint="eastAsia" w:ascii="方正仿宋_GB2312" w:hAnsi="方正仿宋_GB2312" w:eastAsia="方正仿宋_GB2312" w:cs="方正仿宋_GB2312"/>
          <w:sz w:val="24"/>
          <w:szCs w:val="24"/>
        </w:rPr>
        <w:t>，向中标人付款。中标人延期提供发票，则采购人付款时间相应顺延。</w:t>
      </w:r>
    </w:p>
    <w:p w14:paraId="1F0B2D64">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3.交货时间：合同签订后 3个月内</w:t>
      </w:r>
      <w:r>
        <w:rPr>
          <w:rFonts w:hint="eastAsia" w:ascii="方正仿宋_GB2312" w:hAnsi="方正仿宋_GB2312" w:eastAsia="方正仿宋_GB2312" w:cs="方正仿宋_GB2312"/>
          <w:sz w:val="24"/>
          <w:szCs w:val="24"/>
        </w:rPr>
        <w:t>。</w:t>
      </w:r>
    </w:p>
    <w:p w14:paraId="0AD91685">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4.交货内容</w:t>
      </w:r>
    </w:p>
    <w:p w14:paraId="4541A0D7">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4.1设备主件及附件。</w:t>
      </w:r>
    </w:p>
    <w:p w14:paraId="01C43E9D">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4.2设备各种资料，包括提供设备出厂合格证、使用说明书、质量证明文件、装箱单等。</w:t>
      </w:r>
    </w:p>
    <w:p w14:paraId="60A2ACBA">
      <w:pPr>
        <w:adjustRightInd w:val="0"/>
        <w:snapToGrid w:val="0"/>
        <w:ind w:firstLine="480" w:firstLineChars="200"/>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5.交货地点：</w:t>
      </w:r>
      <w:r>
        <w:rPr>
          <w:rFonts w:hint="eastAsia" w:ascii="方正仿宋_GB2312" w:hAnsi="方正仿宋_GB2312" w:eastAsia="方正仿宋_GB2312" w:cs="方正仿宋_GB2312"/>
          <w:sz w:val="24"/>
          <w:szCs w:val="24"/>
        </w:rPr>
        <w:t>中南大学</w:t>
      </w:r>
      <w:bookmarkStart w:id="2" w:name="_GoBack"/>
      <w:bookmarkEnd w:id="2"/>
      <w:r>
        <w:rPr>
          <w:rFonts w:hint="eastAsia" w:ascii="方正仿宋_GB2312" w:hAnsi="方正仿宋_GB2312" w:eastAsia="方正仿宋_GB2312" w:cs="方正仿宋_GB2312"/>
          <w:sz w:val="24"/>
          <w:szCs w:val="24"/>
        </w:rPr>
        <w:t>。</w:t>
      </w:r>
    </w:p>
    <w:p w14:paraId="2B9FB6A9">
      <w:pPr>
        <w:rPr>
          <w:sz w:val="24"/>
          <w:szCs w:val="24"/>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3000509000000000000"/>
    <w:charset w:val="86"/>
    <w:family w:val="script"/>
    <w:pitch w:val="default"/>
    <w:sig w:usb0="00000001" w:usb1="080E0000" w:usb2="00000000" w:usb3="00000000" w:csb0="00040000" w:csb1="00000000"/>
  </w:font>
  <w:font w:name="方正仿宋_GB2312">
    <w:panose1 w:val="02000000000000000000"/>
    <w:charset w:val="86"/>
    <w:family w:val="auto"/>
    <w:pitch w:val="default"/>
    <w:sig w:usb0="A00002BF" w:usb1="184F6CFA" w:usb2="00000012"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2420375"/>
    </w:sdtPr>
    <w:sdtContent>
      <w:sdt>
        <w:sdtPr>
          <w:id w:val="1728636285"/>
        </w:sdtPr>
        <w:sdtContent>
          <w:p w14:paraId="5BC95568">
            <w:pPr>
              <w:pStyle w:val="6"/>
              <w:jc w:val="center"/>
            </w:pPr>
            <w:r>
              <w:rPr>
                <w:b/>
                <w:bCs/>
                <w:sz w:val="24"/>
                <w:szCs w:val="24"/>
              </w:rPr>
              <w:fldChar w:fldCharType="begin"/>
            </w:r>
            <w:r>
              <w:rPr>
                <w:b/>
                <w:bCs/>
              </w:rPr>
              <w:instrText xml:space="preserve">PAGE</w:instrText>
            </w:r>
            <w:r>
              <w:rPr>
                <w:b/>
                <w:bCs/>
                <w:sz w:val="24"/>
                <w:szCs w:val="24"/>
              </w:rPr>
              <w:fldChar w:fldCharType="separate"/>
            </w:r>
            <w:r>
              <w:rPr>
                <w:b/>
                <w:bCs/>
              </w:rPr>
              <w:t>6</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6</w:t>
            </w:r>
            <w:r>
              <w:rPr>
                <w:b/>
                <w:bCs/>
                <w:sz w:val="24"/>
                <w:szCs w:val="24"/>
              </w:rPr>
              <w:fldChar w:fldCharType="end"/>
            </w:r>
          </w:p>
        </w:sdtContent>
      </w:sdt>
    </w:sdtContent>
  </w:sdt>
  <w:p w14:paraId="55DE4E99">
    <w:pPr>
      <w:pStyle w:val="6"/>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248"/>
    <w:rsid w:val="000451EF"/>
    <w:rsid w:val="000755CF"/>
    <w:rsid w:val="00133069"/>
    <w:rsid w:val="002F17F4"/>
    <w:rsid w:val="00334E0E"/>
    <w:rsid w:val="003839A8"/>
    <w:rsid w:val="003A24B8"/>
    <w:rsid w:val="00776863"/>
    <w:rsid w:val="0086723C"/>
    <w:rsid w:val="00895872"/>
    <w:rsid w:val="00924A4C"/>
    <w:rsid w:val="00A03248"/>
    <w:rsid w:val="00A40639"/>
    <w:rsid w:val="00AB185E"/>
    <w:rsid w:val="00B22D21"/>
    <w:rsid w:val="00CB4BD1"/>
    <w:rsid w:val="00CC6976"/>
    <w:rsid w:val="00CF0616"/>
    <w:rsid w:val="00E86328"/>
    <w:rsid w:val="00F30A4A"/>
    <w:rsid w:val="44DB6650"/>
    <w:rsid w:val="4CAD4BE8"/>
    <w:rsid w:val="70CD72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1">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2">
    <w:name w:val="Body Text"/>
    <w:basedOn w:val="1"/>
    <w:link w:val="18"/>
    <w:semiHidden/>
    <w:unhideWhenUsed/>
    <w:qFormat/>
    <w:uiPriority w:val="99"/>
    <w:pPr>
      <w:spacing w:after="120"/>
    </w:pPr>
  </w:style>
  <w:style w:type="paragraph" w:styleId="3">
    <w:name w:val="annotation text"/>
    <w:basedOn w:val="1"/>
    <w:link w:val="19"/>
    <w:semiHidden/>
    <w:unhideWhenUsed/>
    <w:uiPriority w:val="99"/>
    <w:pPr>
      <w:jc w:val="left"/>
    </w:pPr>
  </w:style>
  <w:style w:type="paragraph" w:styleId="4">
    <w:name w:val="Body Text Indent"/>
    <w:basedOn w:val="1"/>
    <w:link w:val="14"/>
    <w:semiHidden/>
    <w:unhideWhenUsed/>
    <w:uiPriority w:val="99"/>
    <w:pPr>
      <w:spacing w:after="120"/>
      <w:ind w:left="420" w:leftChars="200"/>
    </w:pPr>
  </w:style>
  <w:style w:type="paragraph" w:styleId="5">
    <w:name w:val="Balloon Text"/>
    <w:basedOn w:val="1"/>
    <w:link w:val="21"/>
    <w:semiHidden/>
    <w:unhideWhenUsed/>
    <w:qFormat/>
    <w:uiPriority w:val="99"/>
    <w:rPr>
      <w:sz w:val="18"/>
      <w:szCs w:val="18"/>
    </w:r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22"/>
    <w:unhideWhenUsed/>
    <w:uiPriority w:val="99"/>
    <w:pPr>
      <w:pBdr>
        <w:bottom w:val="single" w:color="auto" w:sz="6" w:space="1"/>
      </w:pBdr>
      <w:tabs>
        <w:tab w:val="center" w:pos="4153"/>
        <w:tab w:val="right" w:pos="8306"/>
      </w:tabs>
      <w:snapToGrid w:val="0"/>
      <w:jc w:val="center"/>
    </w:pPr>
    <w:rPr>
      <w:sz w:val="18"/>
      <w:szCs w:val="18"/>
    </w:rPr>
  </w:style>
  <w:style w:type="paragraph" w:styleId="8">
    <w:name w:val="annotation subject"/>
    <w:basedOn w:val="3"/>
    <w:next w:val="3"/>
    <w:link w:val="20"/>
    <w:semiHidden/>
    <w:unhideWhenUsed/>
    <w:uiPriority w:val="99"/>
    <w:rPr>
      <w:b/>
      <w:bCs/>
    </w:rPr>
  </w:style>
  <w:style w:type="paragraph" w:styleId="9">
    <w:name w:val="Body Text First Indent 2"/>
    <w:basedOn w:val="4"/>
    <w:link w:val="15"/>
    <w:unhideWhenUsed/>
    <w:qFormat/>
    <w:uiPriority w:val="99"/>
    <w:pPr>
      <w:ind w:firstLine="420" w:firstLineChars="200"/>
    </w:pPr>
  </w:style>
  <w:style w:type="character" w:styleId="12">
    <w:name w:val="annotation reference"/>
    <w:basedOn w:val="11"/>
    <w:semiHidden/>
    <w:unhideWhenUsed/>
    <w:uiPriority w:val="99"/>
    <w:rPr>
      <w:sz w:val="21"/>
      <w:szCs w:val="21"/>
    </w:rPr>
  </w:style>
  <w:style w:type="character" w:customStyle="1" w:styleId="13">
    <w:name w:val="页脚 字符"/>
    <w:basedOn w:val="11"/>
    <w:link w:val="6"/>
    <w:qFormat/>
    <w:uiPriority w:val="99"/>
    <w:rPr>
      <w:sz w:val="18"/>
      <w:szCs w:val="18"/>
    </w:rPr>
  </w:style>
  <w:style w:type="character" w:customStyle="1" w:styleId="14">
    <w:name w:val="正文文本缩进 字符"/>
    <w:basedOn w:val="11"/>
    <w:link w:val="4"/>
    <w:semiHidden/>
    <w:qFormat/>
    <w:uiPriority w:val="99"/>
  </w:style>
  <w:style w:type="character" w:customStyle="1" w:styleId="15">
    <w:name w:val="正文文本首行缩进 2 字符"/>
    <w:basedOn w:val="14"/>
    <w:link w:val="9"/>
    <w:uiPriority w:val="99"/>
  </w:style>
  <w:style w:type="paragraph" w:styleId="16">
    <w:name w:val="List Paragraph"/>
    <w:basedOn w:val="1"/>
    <w:link w:val="17"/>
    <w:qFormat/>
    <w:uiPriority w:val="1"/>
    <w:pPr>
      <w:ind w:firstLine="420" w:firstLineChars="200"/>
    </w:pPr>
  </w:style>
  <w:style w:type="character" w:customStyle="1" w:styleId="17">
    <w:name w:val="列表段落 字符"/>
    <w:link w:val="16"/>
    <w:qFormat/>
    <w:uiPriority w:val="1"/>
  </w:style>
  <w:style w:type="character" w:customStyle="1" w:styleId="18">
    <w:name w:val="正文文本 字符"/>
    <w:basedOn w:val="11"/>
    <w:link w:val="2"/>
    <w:semiHidden/>
    <w:uiPriority w:val="99"/>
  </w:style>
  <w:style w:type="character" w:customStyle="1" w:styleId="19">
    <w:name w:val="批注文字 字符"/>
    <w:basedOn w:val="11"/>
    <w:link w:val="3"/>
    <w:semiHidden/>
    <w:qFormat/>
    <w:uiPriority w:val="99"/>
  </w:style>
  <w:style w:type="character" w:customStyle="1" w:styleId="20">
    <w:name w:val="批注主题 字符"/>
    <w:basedOn w:val="19"/>
    <w:link w:val="8"/>
    <w:semiHidden/>
    <w:uiPriority w:val="99"/>
    <w:rPr>
      <w:b/>
      <w:bCs/>
    </w:rPr>
  </w:style>
  <w:style w:type="character" w:customStyle="1" w:styleId="21">
    <w:name w:val="批注框文本 字符"/>
    <w:basedOn w:val="11"/>
    <w:link w:val="5"/>
    <w:semiHidden/>
    <w:qFormat/>
    <w:uiPriority w:val="99"/>
    <w:rPr>
      <w:sz w:val="18"/>
      <w:szCs w:val="18"/>
    </w:rPr>
  </w:style>
  <w:style w:type="character" w:customStyle="1" w:styleId="22">
    <w:name w:val="页眉 字符"/>
    <w:basedOn w:val="11"/>
    <w:link w:val="7"/>
    <w:uiPriority w:val="99"/>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2395</Words>
  <Characters>2467</Characters>
  <Lines>17</Lines>
  <Paragraphs>5</Paragraphs>
  <TotalTime>6</TotalTime>
  <ScaleCrop>false</ScaleCrop>
  <LinksUpToDate>false</LinksUpToDate>
  <CharactersWithSpaces>2478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2026-05-29T09:37:00Z</dcterms:created>
  <dc:creator>Jiang hao</dc:creator>
  <cp:lastModifiedBy>张帅磊</cp:lastModifiedBy>
  <cp:lastPrinted>2026-05-28T06:32:00Z</cp:lastPrinted>
  <dcterms:modified xsi:type="dcterms:W3CDTF">2026-06-01T06:56:00Z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eyJoZGlkIjoiNGZlOTE3NmU2NzYzNTkyZTM0ZGY1NTZkYTk3ZTdkYmIiLCJ1c2VySWQiOiIxNzg0MDE3NjYyIn0=</vt:lpwstr>
  </property>
  <property fmtid="{D5CDD505-2E9C-101B-9397-08002B2CF9AE}" pid="3" name="KSOProductBuildVer">
    <vt:lpwstr>2052-12.1.0.23542</vt:lpwstr>
  </property>
  <property fmtid="{D5CDD505-2E9C-101B-9397-08002B2CF9AE}" pid="4" name="ICV">
    <vt:lpwstr>6480F750C21A49E8AFEAED67FD9F5F79_12</vt:lpwstr>
  </property>
</Properties>
</file>