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ACEC7E">
      <w:pPr>
        <w:adjustRightInd w:val="0"/>
        <w:snapToGrid w:val="0"/>
        <w:spacing w:line="264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32"/>
          <w:szCs w:val="32"/>
        </w:rPr>
        <w:t>核磁共振波谱仪（4</w:t>
      </w:r>
      <w:r>
        <w:rPr>
          <w:rFonts w:ascii="宋体" w:hAnsi="宋体" w:cs="宋体"/>
          <w:b/>
          <w:bCs/>
          <w:sz w:val="32"/>
          <w:szCs w:val="32"/>
        </w:rPr>
        <w:t>00MHz</w:t>
      </w:r>
      <w:r>
        <w:rPr>
          <w:rFonts w:hint="eastAsia" w:ascii="宋体" w:hAnsi="宋体" w:cs="宋体"/>
          <w:b/>
          <w:bCs/>
          <w:sz w:val="32"/>
          <w:szCs w:val="32"/>
        </w:rPr>
        <w:t>）采购项目技术参数</w:t>
      </w:r>
    </w:p>
    <w:p w14:paraId="06F99F54">
      <w:pPr>
        <w:adjustRightInd w:val="0"/>
        <w:snapToGrid w:val="0"/>
        <w:spacing w:line="264" w:lineRule="auto"/>
        <w:jc w:val="center"/>
        <w:rPr>
          <w:rFonts w:ascii="宋体" w:hAnsi="宋体" w:cs="宋体"/>
          <w:b/>
          <w:bCs/>
          <w:sz w:val="24"/>
        </w:rPr>
      </w:pPr>
    </w:p>
    <w:p w14:paraId="31620F2A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b/>
          <w:bCs/>
          <w:kern w:val="0"/>
        </w:rPr>
        <w:t>设备1：核磁共振波谱仪主机</w:t>
      </w:r>
    </w:p>
    <w:p w14:paraId="19EC9A33">
      <w:pPr>
        <w:spacing w:line="264" w:lineRule="auto"/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核磁共振波谱仪主机主要包含超导磁体1台、控制机柜1台、探头1个、制冷单元1套、自动进样器1套、高速傅立叶变换数据处理板1个、工作站电脑等。具体如下：</w:t>
      </w:r>
    </w:p>
    <w:p w14:paraId="24E4452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1.1 超导磁体</w:t>
      </w:r>
    </w:p>
    <w:p w14:paraId="643D0270">
      <w:pPr>
        <w:spacing w:line="264" w:lineRule="auto"/>
        <w:rPr>
          <w:rFonts w:ascii="宋体" w:hAnsi="宋体" w:cs="宋体"/>
          <w:kern w:val="0"/>
        </w:rPr>
      </w:pPr>
      <w:bookmarkStart w:id="0" w:name="_Hlk117676336"/>
      <w:r>
        <w:rPr>
          <w:rFonts w:hint="eastAsia" w:ascii="宋体" w:hAnsi="宋体" w:cs="宋体"/>
          <w:kern w:val="0"/>
        </w:rPr>
        <w:t>具有低液氦与液氮消耗、高稳定性、高均匀性、抗干扰超屏蔽超导磁体或自屏蔽磁体，低温匀场线圈：≥ 12组，室温匀场线圈：≥36组，磁场漂移：≤ 4 Hz／小时</w:t>
      </w:r>
    </w:p>
    <w:p w14:paraId="139381C5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磁体强度 ≥ 9.30 T</w:t>
      </w:r>
    </w:p>
    <w:p w14:paraId="1CE61871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液氦维持时间：≥ 300天</w:t>
      </w:r>
    </w:p>
    <w:p w14:paraId="42447188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液氦消耗速率：≤ 15 mL／小时</w:t>
      </w:r>
    </w:p>
    <w:p w14:paraId="56C4370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5高斯强度处横向距离：＜ 0.6 米</w:t>
      </w:r>
    </w:p>
    <w:p w14:paraId="407F484E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有液氦液面自动监视和最小液面自动报警装置</w:t>
      </w:r>
      <w:bookmarkEnd w:id="0"/>
    </w:p>
    <w:p w14:paraId="6E05A67C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1.2 控制机柜</w:t>
      </w:r>
    </w:p>
    <w:p w14:paraId="69D0CE31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(1) 射频发射系统</w:t>
      </w:r>
    </w:p>
    <w:p w14:paraId="0A83246A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射频通道数：≥ 2个</w:t>
      </w:r>
    </w:p>
    <w:p w14:paraId="6418BE96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各通道具有的功能：各通道有独立的观测、去偶、模数转换功能；</w:t>
      </w:r>
    </w:p>
    <w:p w14:paraId="245476A8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双通道频率发生器数字频率合成，每个通道合成频率范围 5-1280MHz；</w:t>
      </w:r>
    </w:p>
    <w:p w14:paraId="5758CFAA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频率分辨率：≤ 0.005 Hz</w:t>
      </w:r>
    </w:p>
    <w:p w14:paraId="05239549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相位分辨率：≤ 0.006度</w:t>
      </w:r>
    </w:p>
    <w:p w14:paraId="4122D3E8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(2) 双功放系统</w:t>
      </w:r>
    </w:p>
    <w:p w14:paraId="7028429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质子最大输出功率：≥ 40 W</w:t>
      </w:r>
    </w:p>
    <w:p w14:paraId="538ECC54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多核最大输出功率：≥ 140 W</w:t>
      </w:r>
    </w:p>
    <w:p w14:paraId="2841A4EF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频率,相位,幅度的设置时间：≤ 12.5纳秒</w:t>
      </w:r>
    </w:p>
    <w:p w14:paraId="7961264F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幅度控制 ≥ 90 dB</w:t>
      </w:r>
    </w:p>
    <w:p w14:paraId="1F079B77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(3) 接收及采样</w:t>
      </w:r>
    </w:p>
    <w:p w14:paraId="01E3D3F7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最大谱宽：≥ 7.5 MHz</w:t>
      </w:r>
    </w:p>
    <w:p w14:paraId="1C4752E5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接收中频 ≥ 1.85 GHz</w:t>
      </w:r>
    </w:p>
    <w:p w14:paraId="7743DC74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每个通道独立的高速ADC，采样速率≥200兆次/秒</w:t>
      </w:r>
    </w:p>
    <w:p w14:paraId="016D4701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6KHz谱宽有效动态范围 &gt; 23 Bit</w:t>
      </w:r>
    </w:p>
    <w:p w14:paraId="5849A46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氘数字锁场及梯度匀场系统</w:t>
      </w:r>
    </w:p>
    <w:p w14:paraId="1C345E8F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自动／手动匀场系统</w:t>
      </w:r>
    </w:p>
    <w:p w14:paraId="201C44CE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精确的氘梯度自动匀场</w:t>
      </w:r>
    </w:p>
    <w:p w14:paraId="778856CB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支持多溶剂峰（如吡啶）自动锁场</w:t>
      </w:r>
    </w:p>
    <w:p w14:paraId="4476A048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Z方向射频脉冲梯度场</w:t>
      </w:r>
    </w:p>
    <w:p w14:paraId="15EFD1C9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梯度场最大电流：≥ 10 A</w:t>
      </w:r>
    </w:p>
    <w:p w14:paraId="2C4FC784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(4)高精度变温控制单元</w:t>
      </w:r>
    </w:p>
    <w:p w14:paraId="0BA5CEF9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控温范围：-150 ℃ — +200 ℃ (低温实验可以另配低温附件)</w:t>
      </w:r>
    </w:p>
    <w:p w14:paraId="7301ECE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精度 ≤  ±0.1 ℃</w:t>
      </w:r>
    </w:p>
    <w:p w14:paraId="2BE9B6C7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利用核磁共振热电偶功能，准确测量并自动控制样品温度</w:t>
      </w:r>
    </w:p>
    <w:p w14:paraId="4015C2F0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1.3 探头</w:t>
      </w:r>
    </w:p>
    <w:p w14:paraId="1DE45871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5mm Z梯度场多核探头</w:t>
      </w:r>
    </w:p>
    <w:p w14:paraId="5C21A610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检测核：</w:t>
      </w:r>
      <w:r>
        <w:rPr>
          <w:rFonts w:hint="eastAsia" w:ascii="宋体" w:hAnsi="宋体" w:cs="宋体"/>
          <w:kern w:val="0"/>
          <w:vertAlign w:val="superscript"/>
        </w:rPr>
        <w:t>1</w:t>
      </w:r>
      <w:r>
        <w:rPr>
          <w:rFonts w:hint="eastAsia" w:ascii="宋体" w:hAnsi="宋体" w:cs="宋体"/>
          <w:kern w:val="0"/>
        </w:rPr>
        <w:t>H和</w:t>
      </w:r>
      <w:r>
        <w:rPr>
          <w:rFonts w:hint="eastAsia" w:ascii="宋体" w:hAnsi="宋体" w:cs="宋体"/>
          <w:kern w:val="0"/>
          <w:vertAlign w:val="superscript"/>
        </w:rPr>
        <w:t>19</w:t>
      </w:r>
      <w:r>
        <w:rPr>
          <w:rFonts w:hint="eastAsia" w:ascii="宋体" w:hAnsi="宋体" w:cs="宋体"/>
          <w:kern w:val="0"/>
        </w:rPr>
        <w:t>F, 共振频率在</w:t>
      </w:r>
      <w:r>
        <w:rPr>
          <w:rFonts w:hint="eastAsia" w:ascii="宋体" w:hAnsi="宋体" w:cs="宋体"/>
          <w:kern w:val="0"/>
          <w:vertAlign w:val="superscript"/>
        </w:rPr>
        <w:t>31</w:t>
      </w:r>
      <w:r>
        <w:rPr>
          <w:rFonts w:hint="eastAsia" w:ascii="宋体" w:hAnsi="宋体" w:cs="宋体"/>
          <w:kern w:val="0"/>
        </w:rPr>
        <w:t>P-</w:t>
      </w:r>
      <w:r>
        <w:rPr>
          <w:rFonts w:hint="eastAsia" w:ascii="宋体" w:hAnsi="宋体" w:cs="宋体"/>
          <w:kern w:val="0"/>
          <w:vertAlign w:val="superscript"/>
        </w:rPr>
        <w:t>199</w:t>
      </w:r>
      <w:r>
        <w:rPr>
          <w:rFonts w:hint="eastAsia" w:ascii="宋体" w:hAnsi="宋体" w:cs="宋体"/>
          <w:kern w:val="0"/>
        </w:rPr>
        <w:t>Hg和</w:t>
      </w:r>
      <w:r>
        <w:rPr>
          <w:rFonts w:hint="eastAsia" w:ascii="宋体" w:hAnsi="宋体" w:cs="宋体"/>
          <w:kern w:val="0"/>
          <w:vertAlign w:val="superscript"/>
        </w:rPr>
        <w:t>17</w:t>
      </w:r>
      <w:r>
        <w:rPr>
          <w:rFonts w:ascii="宋体" w:hAnsi="宋体" w:cs="宋体"/>
          <w:kern w:val="0"/>
        </w:rPr>
        <w:t>O</w:t>
      </w:r>
      <w:r>
        <w:rPr>
          <w:rFonts w:hint="eastAsia" w:ascii="宋体" w:hAnsi="宋体" w:cs="宋体"/>
          <w:kern w:val="0"/>
        </w:rPr>
        <w:t>-</w:t>
      </w:r>
      <w:r>
        <w:rPr>
          <w:rFonts w:hint="eastAsia" w:ascii="宋体" w:hAnsi="宋体" w:cs="宋体"/>
          <w:kern w:val="0"/>
          <w:vertAlign w:val="superscript"/>
        </w:rPr>
        <w:t>109</w:t>
      </w:r>
      <w:r>
        <w:rPr>
          <w:rFonts w:hint="eastAsia" w:ascii="宋体" w:hAnsi="宋体" w:cs="宋体"/>
          <w:kern w:val="0"/>
        </w:rPr>
        <w:t>Ag之间的所有核</w:t>
      </w:r>
    </w:p>
    <w:p w14:paraId="11ECAACD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</w:t>
      </w:r>
      <w:r>
        <w:rPr>
          <w:rFonts w:hint="eastAsia" w:ascii="宋体" w:hAnsi="宋体" w:cs="宋体"/>
          <w:kern w:val="0"/>
        </w:rPr>
        <w:t>H分辨率（旋转）≤ 0.5 Hz (1％ CHCl</w:t>
      </w:r>
      <w:r>
        <w:rPr>
          <w:rFonts w:hint="eastAsia" w:ascii="宋体" w:hAnsi="宋体" w:cs="宋体"/>
          <w:kern w:val="0"/>
          <w:vertAlign w:val="subscript"/>
        </w:rPr>
        <w:t>3</w:t>
      </w:r>
      <w:r>
        <w:rPr>
          <w:rFonts w:hint="eastAsia" w:ascii="宋体" w:hAnsi="宋体" w:cs="宋体"/>
          <w:kern w:val="0"/>
        </w:rPr>
        <w:t>)</w:t>
      </w:r>
    </w:p>
    <w:p w14:paraId="3F613F08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</w:t>
      </w:r>
      <w:r>
        <w:rPr>
          <w:rFonts w:hint="eastAsia" w:ascii="宋体" w:hAnsi="宋体" w:cs="宋体"/>
          <w:kern w:val="0"/>
        </w:rPr>
        <w:t>H 线型 (旋转) ≤ 6/12 (1% CHCl</w:t>
      </w:r>
      <w:r>
        <w:rPr>
          <w:rFonts w:hint="eastAsia" w:ascii="宋体" w:hAnsi="宋体" w:cs="宋体"/>
          <w:kern w:val="0"/>
          <w:vertAlign w:val="subscript"/>
        </w:rPr>
        <w:t>3</w:t>
      </w:r>
      <w:r>
        <w:rPr>
          <w:rFonts w:hint="eastAsia" w:ascii="宋体" w:hAnsi="宋体" w:cs="宋体"/>
          <w:kern w:val="0"/>
        </w:rPr>
        <w:t>)</w:t>
      </w:r>
    </w:p>
    <w:p w14:paraId="10BBF777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13</w:t>
      </w:r>
      <w:r>
        <w:rPr>
          <w:rFonts w:hint="eastAsia" w:ascii="宋体" w:hAnsi="宋体" w:cs="宋体"/>
          <w:kern w:val="0"/>
        </w:rPr>
        <w:t>C分辨率 (旋转)≤ 0.2 Hz （ASTM）</w:t>
      </w:r>
    </w:p>
    <w:p w14:paraId="161156BE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13</w:t>
      </w:r>
      <w:r>
        <w:rPr>
          <w:rFonts w:hint="eastAsia" w:ascii="宋体" w:hAnsi="宋体" w:cs="宋体"/>
          <w:kern w:val="0"/>
        </w:rPr>
        <w:t>C 线型（旋转）≤ 2/4Hz （ASTM）</w:t>
      </w:r>
    </w:p>
    <w:p w14:paraId="32396794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</w:t>
      </w:r>
      <w:r>
        <w:rPr>
          <w:rFonts w:hint="eastAsia" w:ascii="宋体" w:hAnsi="宋体" w:cs="宋体"/>
          <w:kern w:val="0"/>
        </w:rPr>
        <w:t>H灵敏度 ≥ 500:1(0.1％ EB)</w:t>
      </w:r>
    </w:p>
    <w:p w14:paraId="5F476737">
      <w:pPr>
        <w:spacing w:line="264" w:lineRule="auto"/>
        <w:rPr>
          <w:rFonts w:ascii="宋体" w:hAnsi="宋体" w:cs="宋体"/>
          <w:kern w:val="0"/>
        </w:rPr>
      </w:pPr>
      <w:bookmarkStart w:id="1" w:name="_GoBack"/>
      <w:bookmarkEnd w:id="1"/>
      <w:r>
        <w:rPr>
          <w:rFonts w:hint="eastAsia" w:ascii="宋体" w:hAnsi="宋体" w:cs="宋体"/>
          <w:kern w:val="0"/>
          <w:vertAlign w:val="superscript"/>
        </w:rPr>
        <w:t>13</w:t>
      </w:r>
      <w:r>
        <w:rPr>
          <w:rFonts w:hint="eastAsia" w:ascii="宋体" w:hAnsi="宋体" w:cs="宋体"/>
          <w:kern w:val="0"/>
        </w:rPr>
        <w:t>C 灵敏度≥ 200:1(ASTM)</w:t>
      </w:r>
    </w:p>
    <w:p w14:paraId="514F89A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31</w:t>
      </w:r>
      <w:r>
        <w:rPr>
          <w:rFonts w:hint="eastAsia" w:ascii="宋体" w:hAnsi="宋体" w:cs="宋体"/>
          <w:kern w:val="0"/>
        </w:rPr>
        <w:t>P灵敏度 ≥ 180:1(TPP)</w:t>
      </w:r>
    </w:p>
    <w:p w14:paraId="73601830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15</w:t>
      </w:r>
      <w:r>
        <w:rPr>
          <w:rFonts w:hint="eastAsia" w:ascii="宋体" w:hAnsi="宋体" w:cs="宋体"/>
          <w:kern w:val="0"/>
        </w:rPr>
        <w:t>N灵敏度 ≥ 20:1 (90% formamide)</w:t>
      </w:r>
    </w:p>
    <w:p w14:paraId="488CF1CF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19</w:t>
      </w:r>
      <w:r>
        <w:rPr>
          <w:rFonts w:hint="eastAsia" w:ascii="宋体" w:hAnsi="宋体" w:cs="宋体"/>
          <w:kern w:val="0"/>
        </w:rPr>
        <w:t>F灵敏度 ≥ 450:1 (90% TFT)</w:t>
      </w:r>
    </w:p>
    <w:p w14:paraId="62255C27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90度脉冲宽度</w:t>
      </w:r>
    </w:p>
    <w:p w14:paraId="4E4D28B9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</w:t>
      </w:r>
      <w:r>
        <w:rPr>
          <w:rFonts w:hint="eastAsia" w:ascii="宋体" w:hAnsi="宋体" w:cs="宋体"/>
          <w:kern w:val="0"/>
        </w:rPr>
        <w:t xml:space="preserve">H ≤ 8 μs (0.1% EB sample)  </w:t>
      </w:r>
      <w:r>
        <w:rPr>
          <w:rFonts w:hint="eastAsia" w:ascii="宋体" w:hAnsi="宋体" w:cs="宋体"/>
          <w:kern w:val="0"/>
          <w:vertAlign w:val="superscript"/>
        </w:rPr>
        <w:t>19</w:t>
      </w:r>
      <w:r>
        <w:rPr>
          <w:rFonts w:hint="eastAsia" w:ascii="宋体" w:hAnsi="宋体" w:cs="宋体"/>
          <w:kern w:val="0"/>
        </w:rPr>
        <w:t xml:space="preserve">F ≤ 12μs (TFT sample) </w:t>
      </w:r>
    </w:p>
    <w:p w14:paraId="012011E9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13</w:t>
      </w:r>
      <w:r>
        <w:rPr>
          <w:rFonts w:hint="eastAsia" w:ascii="宋体" w:hAnsi="宋体" w:cs="宋体"/>
          <w:kern w:val="0"/>
        </w:rPr>
        <w:t xml:space="preserve">C ≤ 8 μs (ASTM sample)  </w:t>
      </w:r>
      <w:r>
        <w:rPr>
          <w:rFonts w:hint="eastAsia" w:ascii="宋体" w:hAnsi="宋体" w:cs="宋体"/>
          <w:kern w:val="0"/>
          <w:vertAlign w:val="superscript"/>
        </w:rPr>
        <w:t>31</w:t>
      </w:r>
      <w:r>
        <w:rPr>
          <w:rFonts w:hint="eastAsia" w:ascii="宋体" w:hAnsi="宋体" w:cs="宋体"/>
          <w:kern w:val="0"/>
        </w:rPr>
        <w:t xml:space="preserve">P ≤ 8μs (TPP sample) </w:t>
      </w:r>
    </w:p>
    <w:p w14:paraId="465BBCCF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vertAlign w:val="superscript"/>
        </w:rPr>
        <w:t>15</w:t>
      </w:r>
      <w:r>
        <w:rPr>
          <w:rFonts w:hint="eastAsia" w:ascii="宋体" w:hAnsi="宋体" w:cs="宋体"/>
          <w:kern w:val="0"/>
        </w:rPr>
        <w:t>N ≤ 17 μs (90% formamide sample)</w:t>
      </w:r>
    </w:p>
    <w:p w14:paraId="48672EA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加Z-方向梯度场线圈 ≥ 50高斯/cm</w:t>
      </w:r>
    </w:p>
    <w:p w14:paraId="3974F590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探头变温范围: -100℃— +150℃，低温实验另配低温附件</w:t>
      </w:r>
    </w:p>
    <w:p w14:paraId="56FD60B0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探头全自动调谐和匹配附件：必须配备能调所有观测核的全自动调谐和匹配附件</w:t>
      </w:r>
    </w:p>
    <w:p w14:paraId="517335CD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探头具备观测</w:t>
      </w:r>
      <w:r>
        <w:rPr>
          <w:rFonts w:hint="eastAsia" w:ascii="宋体" w:hAnsi="宋体" w:cs="宋体"/>
          <w:kern w:val="0"/>
          <w:vertAlign w:val="superscript"/>
        </w:rPr>
        <w:t>1</w:t>
      </w:r>
      <w:r>
        <w:rPr>
          <w:rFonts w:hint="eastAsia" w:ascii="宋体" w:hAnsi="宋体" w:cs="宋体"/>
          <w:kern w:val="0"/>
        </w:rPr>
        <w:t>H去偶后的</w:t>
      </w:r>
      <w:r>
        <w:rPr>
          <w:rFonts w:hint="eastAsia" w:ascii="宋体" w:hAnsi="宋体" w:cs="宋体"/>
          <w:kern w:val="0"/>
          <w:vertAlign w:val="superscript"/>
        </w:rPr>
        <w:t>19</w:t>
      </w:r>
      <w:r>
        <w:rPr>
          <w:rFonts w:hint="eastAsia" w:ascii="宋体" w:hAnsi="宋体" w:cs="宋体"/>
          <w:kern w:val="0"/>
        </w:rPr>
        <w:t>F图谱功能.</w:t>
      </w:r>
    </w:p>
    <w:p w14:paraId="4BE3C899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1.4 制冷单元</w:t>
      </w:r>
    </w:p>
    <w:p w14:paraId="7C936839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样品测试温度可达0摄氏度，温度控制稳定性高，在0~30度可将温度控制在设定温度,误差小于0.1摄氏度。</w:t>
      </w:r>
    </w:p>
    <w:p w14:paraId="3E12605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1.5 自动进样器</w:t>
      </w:r>
    </w:p>
    <w:p w14:paraId="62060F51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自动进样器单个样品盘一次可放置的样品位数至少24位，配有标准5 mm转子≥24个，所有转子均可用于低温、常温、高温的实验。</w:t>
      </w:r>
    </w:p>
    <w:p w14:paraId="1D8674FD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标准5 mm转子可以在 -10—50摄氏度范围内使用</w:t>
      </w:r>
    </w:p>
    <w:p w14:paraId="4A42CA3A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高温陶瓷转子 ≥ 1个</w:t>
      </w:r>
    </w:p>
    <w:p w14:paraId="7F54F55F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1.6 工作站</w:t>
      </w:r>
    </w:p>
    <w:p w14:paraId="795649B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CPU：8~16核高端处理器</w:t>
      </w:r>
    </w:p>
    <w:p w14:paraId="7E565288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内存：≥ 16 GB</w:t>
      </w:r>
    </w:p>
    <w:p w14:paraId="50A92B0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硬盘：≥ 2 TB</w:t>
      </w:r>
    </w:p>
    <w:p w14:paraId="04E3D275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独立显卡：≥ 1 G</w:t>
      </w:r>
    </w:p>
    <w:p w14:paraId="330D871B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显示器：≥ 24英寸宽屏液晶彩色显示器</w:t>
      </w:r>
    </w:p>
    <w:p w14:paraId="2904DDEB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运行平台： Windows（64位）操作系统</w:t>
      </w:r>
    </w:p>
    <w:p w14:paraId="3AC2424F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已安装正版核磁软件，核磁数据处理软件许可证一个，实验数据（原始数据及分析结果）可存为通用格式，能被其它NMR软件读取，并能导入Microsoft Office和wps 软件</w:t>
      </w:r>
    </w:p>
    <w:p w14:paraId="4976A48B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 xml:space="preserve">1.7 高速傅立叶变换数据处理板 </w:t>
      </w:r>
    </w:p>
    <w:p w14:paraId="67934C26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用于在核磁共振实验中快速处理时域信号以生成最终图像或谱图。</w:t>
      </w:r>
    </w:p>
    <w:p w14:paraId="18DD3DFA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1.8 其他附件</w:t>
      </w:r>
    </w:p>
    <w:p w14:paraId="7A9F501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随机必备的标准附件专用工具</w:t>
      </w:r>
    </w:p>
    <w:p w14:paraId="4CCFC1D7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标准样品 1套</w:t>
      </w:r>
    </w:p>
    <w:p w14:paraId="594C465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超导磁体用液氦真空输液管1个</w:t>
      </w:r>
    </w:p>
    <w:p w14:paraId="5E32A33C">
      <w:pPr>
        <w:spacing w:line="264" w:lineRule="auto"/>
        <w:rPr>
          <w:rFonts w:ascii="宋体" w:hAnsi="宋体" w:cs="宋体"/>
          <w:kern w:val="0"/>
        </w:rPr>
      </w:pPr>
    </w:p>
    <w:p w14:paraId="57AD20C4">
      <w:pPr>
        <w:spacing w:line="264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设备2：空压机</w:t>
      </w:r>
    </w:p>
    <w:p w14:paraId="27CEF597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涡旋式空压机，带过滤器、储气罐和干燥器1套</w:t>
      </w:r>
    </w:p>
    <w:p w14:paraId="49B07B65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(1) 排气量：≥ 400L/min，压力可调范围为：4~8.5bar。</w:t>
      </w:r>
    </w:p>
    <w:p w14:paraId="127AADDB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 xml:space="preserve">(2) 电机功率：≤3.7KW </w:t>
      </w:r>
    </w:p>
    <w:p w14:paraId="076C6E1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(3) 电源：3PH/380V/50Hz</w:t>
      </w:r>
    </w:p>
    <w:p w14:paraId="65C77543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(4) 要求低噪音低振动，噪音值：≤48dB。</w:t>
      </w:r>
    </w:p>
    <w:p w14:paraId="2FEA8B8B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(5) 空压机内置原厂自动减压排水器，避免排水时噪音比较大。</w:t>
      </w:r>
    </w:p>
    <w:p w14:paraId="53F8252B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(6) 空压机内置冷冻式干燥机，并且当冷冻式干燥机异常时，空压机能自动停机避免未干燥气体进入到后端仪器设备。</w:t>
      </w:r>
    </w:p>
    <w:p w14:paraId="71B6BC0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(7) 开机时具有电源相序检测功能，若电源相序不对时，具有相应的报警提示，电机不会反转。</w:t>
      </w:r>
    </w:p>
    <w:p w14:paraId="0A578D52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(8) 具有来电自动恢复启动功能。</w:t>
      </w:r>
    </w:p>
    <w:p w14:paraId="5BD5282D">
      <w:pPr>
        <w:spacing w:line="264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(9) 单台空压机机头数量：≤1个。</w:t>
      </w:r>
    </w:p>
    <w:p w14:paraId="1B7338B1">
      <w:pPr>
        <w:spacing w:line="264" w:lineRule="auto"/>
        <w:rPr>
          <w:rFonts w:ascii="宋体" w:hAnsi="宋体" w:cs="宋体"/>
          <w:kern w:val="0"/>
        </w:rPr>
      </w:pPr>
    </w:p>
    <w:p w14:paraId="2E5298D2">
      <w:pPr>
        <w:spacing w:line="264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设备3：UPS电源</w:t>
      </w:r>
    </w:p>
    <w:p w14:paraId="31BD84CF">
      <w:pPr>
        <w:pStyle w:val="10"/>
        <w:spacing w:after="0" w:line="264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 xml:space="preserve"> (1) 功率不低于10KVA；</w:t>
      </w:r>
    </w:p>
    <w:p w14:paraId="4E9CCED7">
      <w:pPr>
        <w:pStyle w:val="10"/>
        <w:spacing w:after="0" w:line="264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 xml:space="preserve">  (2) 配稳压器；</w:t>
      </w:r>
    </w:p>
    <w:p w14:paraId="70B7FF8B">
      <w:pPr>
        <w:spacing w:line="264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 xml:space="preserve">  (3) 延时时间不低于1小时。</w:t>
      </w:r>
    </w:p>
    <w:p w14:paraId="5DD377D9">
      <w:pPr>
        <w:spacing w:line="264" w:lineRule="auto"/>
        <w:rPr>
          <w:rFonts w:ascii="宋体" w:hAnsi="宋体" w:cs="宋体"/>
        </w:rPr>
      </w:pPr>
    </w:p>
    <w:p w14:paraId="14A99F85">
      <w:pPr>
        <w:spacing w:line="264" w:lineRule="auto"/>
        <w:rPr>
          <w:rFonts w:ascii="宋体" w:hAnsi="宋体" w:cs="宋体"/>
          <w:b/>
          <w:sz w:val="22"/>
          <w:szCs w:val="28"/>
        </w:rPr>
      </w:pPr>
      <w:r>
        <w:rPr>
          <w:rFonts w:hint="eastAsia" w:ascii="宋体" w:hAnsi="宋体" w:cs="宋体"/>
          <w:b/>
          <w:bCs/>
          <w:kern w:val="0"/>
        </w:rPr>
        <w:t>设备4：核磁数据存储服务器</w:t>
      </w:r>
    </w:p>
    <w:p w14:paraId="4A596312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 xml:space="preserve"> (1) CPU: 双节点，每节点≥24核，基频≥2.8 GHz；</w:t>
      </w:r>
    </w:p>
    <w:p w14:paraId="623A7464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 xml:space="preserve">   (2) 内存：≥ 128G；</w:t>
      </w:r>
    </w:p>
    <w:p w14:paraId="77900BC6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 xml:space="preserve">   (3) 硬盘*2： 每块硬盘 ≥ 8T；</w:t>
      </w:r>
    </w:p>
    <w:p w14:paraId="6C2096E6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 xml:space="preserve">   (4) 独立阵列卡；</w:t>
      </w:r>
    </w:p>
    <w:p w14:paraId="3949EC04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 xml:space="preserve">   (5) 双电源，功率650 W~1.2 kW</w:t>
      </w:r>
    </w:p>
    <w:p w14:paraId="63F03609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 xml:space="preserve">   (6) 配套机箱、散热器和主板等必要组件</w:t>
      </w:r>
    </w:p>
    <w:p w14:paraId="1155D648">
      <w:pPr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 xml:space="preserve">   (6) 双网卡，安装Linux或windows操作系统，与核磁工作站实现实时数据共享，安装正版ftp软件，实现局域网内核磁数据实时下载。</w:t>
      </w:r>
    </w:p>
    <w:p w14:paraId="250A47EC">
      <w:pPr>
        <w:spacing w:line="264" w:lineRule="auto"/>
        <w:rPr>
          <w:rFonts w:ascii="宋体" w:hAnsi="宋体" w:cs="宋体"/>
          <w:sz w:val="22"/>
          <w:szCs w:val="28"/>
        </w:rPr>
      </w:pPr>
    </w:p>
    <w:p w14:paraId="1675F251">
      <w:pPr>
        <w:spacing w:line="264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设备5：分子隔膜泵</w:t>
      </w:r>
    </w:p>
    <w:p w14:paraId="45DDCF23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(1) 最大抽速：≥2.0 m</w:t>
      </w:r>
      <w:r>
        <w:rPr>
          <w:rFonts w:hint="eastAsia" w:ascii="宋体" w:hAnsi="宋体" w:cs="宋体"/>
          <w:sz w:val="22"/>
          <w:szCs w:val="28"/>
          <w:vertAlign w:val="superscript"/>
        </w:rPr>
        <w:t>3</w:t>
      </w:r>
      <w:r>
        <w:rPr>
          <w:rFonts w:hint="eastAsia" w:ascii="宋体" w:hAnsi="宋体" w:cs="宋体"/>
          <w:sz w:val="22"/>
          <w:szCs w:val="28"/>
        </w:rPr>
        <w:t>/h</w:t>
      </w:r>
    </w:p>
    <w:p w14:paraId="69605704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(2) 极限真空度≤7 mbar</w:t>
      </w:r>
    </w:p>
    <w:p w14:paraId="2FF72479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(3) 标配气镇阀，使用气镇时的极限真空度≤12 mbar</w:t>
      </w:r>
    </w:p>
    <w:p w14:paraId="373EFEA3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(4) 高耐受化学腐蚀，隔膜材质PTFE涂层，进/出气阀门为FFKM橡胶、所有气体管路均为PTFE</w:t>
      </w:r>
    </w:p>
    <w:p w14:paraId="06BB9467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(5) 夹层结构隔膜、泵腔盖和隔膜夹紧盘具有金属内芯，外覆ETFE和碳纤维增强材质</w:t>
      </w:r>
    </w:p>
    <w:p w14:paraId="6538D715">
      <w:pPr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(6) 进/出气口接口约8-10mm</w:t>
      </w:r>
    </w:p>
    <w:p w14:paraId="50A02C26">
      <w:pPr>
        <w:spacing w:line="264" w:lineRule="auto"/>
        <w:rPr>
          <w:rFonts w:ascii="宋体" w:hAnsi="宋体" w:cs="宋体"/>
          <w:sz w:val="22"/>
          <w:szCs w:val="28"/>
        </w:rPr>
      </w:pPr>
    </w:p>
    <w:p w14:paraId="2BCAA0BF">
      <w:pPr>
        <w:spacing w:line="264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设备6：核磁测试样品准备操作台</w:t>
      </w:r>
    </w:p>
    <w:p w14:paraId="17858B4B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(1) 尺寸规格：长2000~2100 mm，宽750~800 mm，高750~800 mm</w:t>
      </w:r>
    </w:p>
    <w:p w14:paraId="793D6FCB">
      <w:pPr>
        <w:spacing w:line="264" w:lineRule="auto"/>
        <w:rPr>
          <w:rFonts w:ascii="宋体" w:hAnsi="宋体" w:cs="宋体"/>
          <w:szCs w:val="28"/>
        </w:rPr>
      </w:pPr>
      <w:r>
        <w:rPr>
          <w:rFonts w:hint="eastAsia" w:ascii="宋体" w:hAnsi="宋体" w:cs="宋体"/>
          <w:szCs w:val="28"/>
        </w:rPr>
        <w:t>(2) 台面材质：耐化学腐蚀、耐高温、耐刮擦、易清洁</w:t>
      </w:r>
    </w:p>
    <w:p w14:paraId="44F6BDC0">
      <w:pPr>
        <w:spacing w:line="264" w:lineRule="auto"/>
        <w:rPr>
          <w:rFonts w:ascii="宋体" w:hAnsi="宋体" w:cs="宋体"/>
          <w:szCs w:val="28"/>
        </w:rPr>
      </w:pPr>
    </w:p>
    <w:p w14:paraId="48DA4418">
      <w:pPr>
        <w:spacing w:line="264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设备7：核磁管清洗器</w:t>
      </w:r>
    </w:p>
    <w:p w14:paraId="78732249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(1) 适配核磁管规格：支持常规直径Φ5-10 mm、长度150-200 mm核磁管</w:t>
      </w:r>
    </w:p>
    <w:p w14:paraId="73F734FD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(2) 工作尺寸：≥240×140×150mm（长×宽×高），满足多支核磁管同时放置</w:t>
      </w:r>
    </w:p>
    <w:p w14:paraId="6DB8D275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(3) 容积：≥5 L</w:t>
      </w:r>
    </w:p>
    <w:p w14:paraId="666EB8C7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(4) 功率：≥ 120W</w:t>
      </w:r>
    </w:p>
    <w:p w14:paraId="40B3A83F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(5) 时间范围：支持1-600 min自主调节</w:t>
      </w:r>
    </w:p>
    <w:p w14:paraId="474A5FB0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(6) 专用承载配件：含核磁管专用网架，可固定管体避免碰撞</w:t>
      </w:r>
    </w:p>
    <w:p w14:paraId="0B45C4DF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(7) 设备供电要求：AC 220V/50Hz</w:t>
      </w:r>
    </w:p>
    <w:p w14:paraId="0E9E6200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(8) 运行状态提示：LED指示灯，清晰显示清洗运行/完成状态</w:t>
      </w:r>
    </w:p>
    <w:p w14:paraId="6D225C4F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(9) 机身材质：主体采用耐化学腐蚀ABS工程塑料</w:t>
      </w:r>
    </w:p>
    <w:p w14:paraId="5A3C3962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(10) 设备运行参数：核心运行频率不低于40 KHz</w:t>
      </w:r>
    </w:p>
    <w:p w14:paraId="53725A03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(11) 实验室环境适配：支持5-40℃工作温度、≤85%相对湿度</w:t>
      </w:r>
    </w:p>
    <w:p w14:paraId="64F41721">
      <w:pPr>
        <w:pStyle w:val="3"/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(12) 操作方式：物理按键式操作，简单便捷，避免误触</w:t>
      </w:r>
    </w:p>
    <w:p w14:paraId="0328385D">
      <w:pPr>
        <w:spacing w:line="264" w:lineRule="auto"/>
        <w:rPr>
          <w:rFonts w:ascii="宋体" w:hAnsi="宋体" w:cs="宋体"/>
          <w:sz w:val="22"/>
          <w:szCs w:val="28"/>
        </w:rPr>
      </w:pPr>
      <w:r>
        <w:rPr>
          <w:rFonts w:hint="eastAsia" w:ascii="宋体" w:hAnsi="宋体" w:cs="宋体"/>
          <w:sz w:val="22"/>
          <w:szCs w:val="28"/>
        </w:rPr>
        <w:t>(13) 线缆配置：配套1.5 m长供电线缆，满足实验室不同摆放位置需求</w:t>
      </w:r>
    </w:p>
    <w:sectPr>
      <w:footerReference r:id="rId3" w:type="default"/>
      <w:pgSz w:w="12240" w:h="15840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AE80DA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18253FD">
                          <w:pPr>
                            <w:jc w:val="center"/>
                            <w:rPr>
                              <w:rFonts w:cs="Calibri"/>
                              <w:color w:val="000000"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755.45pt;height:21.5pt;width:612pt;mso-position-horizontal-relative:page;mso-position-vertical-relative:page;z-index:251659264;v-text-anchor:bottom;mso-width-relative:page;mso-height-relative:page;" filled="f" stroked="f" coordsize="21600,21600" o:allowincell="f" o:gfxdata="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M9l/xvYAAAACwEAAA8AAAAAAAAAAQAgAAAAIgAAAGRycy9kb3ducmV2&#10;LnhtbFBLAQIUABQAAAAIAIdO4kDQ/t6+NQIAAF4EAAAOAAAAAAAAAAEAIAAAACc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2.54mm,0mm,2.54mm,0mm">
                <w:txbxContent>
                  <w:p w14:paraId="218253FD">
                    <w:pPr>
                      <w:jc w:val="center"/>
                      <w:rPr>
                        <w:rFonts w:cs="Calibri"/>
                        <w:color w:val="000000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018"/>
    <w:rsid w:val="001B26F2"/>
    <w:rsid w:val="005A6AE2"/>
    <w:rsid w:val="00673A6E"/>
    <w:rsid w:val="006816C1"/>
    <w:rsid w:val="007F1D7C"/>
    <w:rsid w:val="00801CD7"/>
    <w:rsid w:val="00AA4552"/>
    <w:rsid w:val="00B114A8"/>
    <w:rsid w:val="00B73E7D"/>
    <w:rsid w:val="00BC5F3B"/>
    <w:rsid w:val="00D833C3"/>
    <w:rsid w:val="00F538F9"/>
    <w:rsid w:val="00FE0018"/>
    <w:rsid w:val="080D0E34"/>
    <w:rsid w:val="0C957EC0"/>
    <w:rsid w:val="17A43E1B"/>
    <w:rsid w:val="1DA13BB8"/>
    <w:rsid w:val="246D0F2E"/>
    <w:rsid w:val="33305086"/>
    <w:rsid w:val="354920BB"/>
    <w:rsid w:val="3C7D6BA5"/>
    <w:rsid w:val="440A3E22"/>
    <w:rsid w:val="4D233314"/>
    <w:rsid w:val="52913BC8"/>
    <w:rsid w:val="5668324E"/>
    <w:rsid w:val="5A4F0791"/>
    <w:rsid w:val="5B4C6C92"/>
    <w:rsid w:val="5CD256B4"/>
    <w:rsid w:val="5E464C0C"/>
    <w:rsid w:val="5EED5FF4"/>
    <w:rsid w:val="6FAA4409"/>
    <w:rsid w:val="7269208A"/>
    <w:rsid w:val="791C4A1C"/>
    <w:rsid w:val="7B886053"/>
    <w:rsid w:val="7CC3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qFormat/>
    <w:uiPriority w:val="0"/>
    <w:pPr>
      <w:jc w:val="left"/>
    </w:pPr>
  </w:style>
  <w:style w:type="paragraph" w:styleId="3">
    <w:name w:val="Body Text"/>
    <w:basedOn w:val="1"/>
    <w:link w:val="20"/>
    <w:unhideWhenUsed/>
    <w:qFormat/>
    <w:uiPriority w:val="99"/>
    <w:rPr>
      <w:rFonts w:ascii="Times New Roman" w:hAnsi="Times New Roman"/>
      <w:kern w:val="0"/>
      <w:sz w:val="24"/>
    </w:rPr>
  </w:style>
  <w:style w:type="paragraph" w:styleId="4">
    <w:name w:val="Body Text Indent"/>
    <w:basedOn w:val="1"/>
    <w:link w:val="22"/>
    <w:qFormat/>
    <w:uiPriority w:val="0"/>
    <w:pPr>
      <w:spacing w:after="120"/>
      <w:ind w:left="420" w:leftChars="200"/>
    </w:p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7">
    <w:name w:val="header"/>
    <w:basedOn w:val="1"/>
    <w:link w:val="2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9">
    <w:name w:val="annotation subject"/>
    <w:basedOn w:val="2"/>
    <w:next w:val="2"/>
    <w:link w:val="16"/>
    <w:qFormat/>
    <w:uiPriority w:val="0"/>
    <w:rPr>
      <w:b/>
      <w:bCs/>
    </w:rPr>
  </w:style>
  <w:style w:type="paragraph" w:styleId="10">
    <w:name w:val="Body Text First Indent 2"/>
    <w:basedOn w:val="4"/>
    <w:link w:val="23"/>
    <w:unhideWhenUsed/>
    <w:qFormat/>
    <w:uiPriority w:val="99"/>
    <w:pPr>
      <w:ind w:left="0" w:leftChars="0"/>
    </w:pPr>
    <w:rPr>
      <w:sz w:val="22"/>
      <w:szCs w:val="22"/>
    </w:rPr>
  </w:style>
  <w:style w:type="character" w:styleId="13">
    <w:name w:val="annotation reference"/>
    <w:qFormat/>
    <w:uiPriority w:val="0"/>
    <w:rPr>
      <w:sz w:val="21"/>
      <w:szCs w:val="21"/>
    </w:rPr>
  </w:style>
  <w:style w:type="character" w:customStyle="1" w:styleId="14">
    <w:name w:val="批注文字 字符"/>
    <w:link w:val="2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5">
    <w:name w:val="批注框文本 字符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批注主题 字符"/>
    <w:link w:val="9"/>
    <w:qFormat/>
    <w:uiPriority w:val="0"/>
    <w:rPr>
      <w:rFonts w:ascii="Calibri" w:hAnsi="Calibri"/>
      <w:b/>
      <w:bCs/>
      <w:kern w:val="2"/>
      <w:sz w:val="21"/>
      <w:szCs w:val="24"/>
    </w:rPr>
  </w:style>
  <w:style w:type="paragraph" w:customStyle="1" w:styleId="17">
    <w:name w:val="彩色列表 - 强调文字颜色 11"/>
    <w:basedOn w:val="1"/>
    <w:qFormat/>
    <w:uiPriority w:val="34"/>
    <w:pPr>
      <w:ind w:firstLine="420" w:firstLineChars="200"/>
    </w:pPr>
    <w:rPr>
      <w:szCs w:val="22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20">
    <w:name w:val="正文文本 字符"/>
    <w:basedOn w:val="12"/>
    <w:link w:val="3"/>
    <w:qFormat/>
    <w:uiPriority w:val="99"/>
    <w:rPr>
      <w:sz w:val="24"/>
      <w:szCs w:val="24"/>
    </w:rPr>
  </w:style>
  <w:style w:type="character" w:customStyle="1" w:styleId="21">
    <w:name w:val="页脚 字符"/>
    <w:basedOn w:val="12"/>
    <w:link w:val="6"/>
    <w:qFormat/>
    <w:uiPriority w:val="0"/>
    <w:rPr>
      <w:kern w:val="2"/>
      <w:sz w:val="18"/>
      <w:szCs w:val="18"/>
    </w:rPr>
  </w:style>
  <w:style w:type="character" w:customStyle="1" w:styleId="22">
    <w:name w:val="正文文本缩进 字符"/>
    <w:basedOn w:val="12"/>
    <w:link w:val="4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23">
    <w:name w:val="正文文本首行缩进 2 字符"/>
    <w:basedOn w:val="22"/>
    <w:link w:val="10"/>
    <w:qFormat/>
    <w:uiPriority w:val="99"/>
    <w:rPr>
      <w:rFonts w:ascii="Calibri" w:hAnsi="Calibri"/>
      <w:kern w:val="2"/>
      <w:sz w:val="22"/>
      <w:szCs w:val="22"/>
    </w:rPr>
  </w:style>
  <w:style w:type="character" w:customStyle="1" w:styleId="24">
    <w:name w:val="页眉 字符"/>
    <w:basedOn w:val="12"/>
    <w:link w:val="7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2046</Words>
  <Characters>2655</Characters>
  <Lines>21</Lines>
  <Paragraphs>6</Paragraphs>
  <TotalTime>42</TotalTime>
  <ScaleCrop>false</ScaleCrop>
  <LinksUpToDate>false</LinksUpToDate>
  <CharactersWithSpaces>2883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2020-04-20T01:33:00Z</dcterms:created>
  <dc:creator>Administrator</dc:creator>
  <cp:lastModifiedBy>段池</cp:lastModifiedBy>
  <dcterms:modified xsi:type="dcterms:W3CDTF">2026-01-23T09:16:45Z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93733A4DCBCB45BBAC06F381E6540CB9_13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