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81DA0A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jc w:val="center"/>
        <w:outlineLvl w:val="0"/>
        <w:rPr>
          <w:rFonts w:hint="default" w:hAnsi="宋体" w:eastAsia="宋体" w:cs="Times New Roman"/>
          <w:b/>
          <w:sz w:val="24"/>
          <w:lang w:val="en-US" w:eastAsia="zh-CN"/>
        </w:rPr>
      </w:pPr>
      <w:r>
        <w:rPr>
          <w:rFonts w:hint="eastAsia" w:hAnsi="宋体" w:eastAsia="宋体" w:cs="Times New Roman"/>
          <w:b/>
          <w:sz w:val="24"/>
          <w:lang w:val="en-US" w:eastAsia="zh-CN"/>
        </w:rPr>
        <w:t>商务要求</w:t>
      </w:r>
    </w:p>
    <w:p w14:paraId="1CC04AE8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Ansi="宋体" w:eastAsia="宋体" w:cs="Times New Roman"/>
          <w:b/>
          <w:sz w:val="24"/>
          <w:lang w:val="zh-CN"/>
        </w:rPr>
      </w:pPr>
      <w:r>
        <w:rPr>
          <w:rFonts w:hint="eastAsia" w:hAnsi="宋体" w:eastAsia="宋体" w:cs="Times New Roman"/>
          <w:b/>
          <w:sz w:val="24"/>
          <w:lang w:val="en-US" w:eastAsia="zh-CN"/>
        </w:rPr>
        <w:t>一．</w:t>
      </w:r>
      <w:r>
        <w:rPr>
          <w:rFonts w:hAnsi="宋体" w:eastAsia="宋体" w:cs="Times New Roman"/>
          <w:b/>
          <w:sz w:val="24"/>
          <w:lang w:val="zh-CN"/>
        </w:rPr>
        <w:t>技术服务</w:t>
      </w:r>
    </w:p>
    <w:p w14:paraId="75CAEF33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1.安装调试要求：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中标人送达产品及进行安装调试，应提前两天以上和采购单位取得联系，以便采购单位安排验货和配合安装调试等工作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中标人应提前告知准备条件，负责产品免费送货上门，免费安装、调试，由此所产生的一切材料费、工具费、人工费、手续费、差旅费、食宿费和加班费等，均由中标人承担。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仪器到达用户所在地后，在接到用户通知后两周内进行安装调试，直至通过验收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。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安装调试期间所发现一切安全和质量事故及费用，均由中标人承担。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中标人须加强安装调试过程的组织管理，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遵守使用方的相关规定。</w:t>
      </w:r>
    </w:p>
    <w:p w14:paraId="57282212">
      <w:pPr>
        <w:spacing w:line="288" w:lineRule="auto"/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2.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培训内容及要求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：中标人应按采购人要求，负责对指定对象进行培训，让操作管理及维护人员达到熟练掌握产品性能，能及时排除一般故障的程度。培训产生的费用全部由中标人承担。培训实施具体细节由中标人和采购人共同商定。</w:t>
      </w:r>
    </w:p>
    <w:p w14:paraId="57596409">
      <w:pPr>
        <w:pStyle w:val="3"/>
        <w:rPr>
          <w:rFonts w:hint="eastAsia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3.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售后服务内容及要求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:提供7×24小时的技术咨询服务，提供7×24小时的故障服务受理，对重大故障提供7×24小时的现场支援，一般故障提供5×8小时的现场支援。</w:t>
      </w:r>
      <w:r>
        <w:rPr>
          <w:rFonts w:hint="eastAsia"/>
          <w:lang w:val="en-US" w:eastAsia="zh-CN"/>
        </w:rPr>
        <w:t>质保期</w:t>
      </w:r>
    </w:p>
    <w:p w14:paraId="53430A36">
      <w:pPr>
        <w:spacing w:line="288" w:lineRule="auto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内中标人每年提供现场技术支持。质保期内出现任何质量问题（人为破坏或自然灾害等不可抗力除外），由中标人负责全免费（免全部工时费、材料费、管理费、财务费等等）更换或维修；无论招标人是否另行选择维保供应商，中标人应及时优惠提供所需的备品备件。</w:t>
      </w:r>
    </w:p>
    <w:p w14:paraId="56F35466">
      <w:pPr>
        <w:spacing w:line="288" w:lineRule="auto"/>
        <w:rPr>
          <w:rFonts w:hint="default" w:eastAsia="仿宋" w:cs="Times New Roman"/>
          <w:sz w:val="24"/>
          <w:lang w:val="en-US" w:eastAsia="zh-CN"/>
        </w:rPr>
      </w:pPr>
      <w:r>
        <w:rPr>
          <w:rFonts w:hint="eastAsia" w:eastAsia="仿宋" w:cs="Times New Roman"/>
          <w:sz w:val="24"/>
          <w:lang w:val="en-US" w:eastAsia="zh-CN"/>
        </w:rPr>
        <w:t>4.质保期要求：</w:t>
      </w:r>
      <w:r>
        <w:rPr>
          <w:rFonts w:hint="eastAsia" w:eastAsia="宋体" w:cs="Times New Roman"/>
          <w:sz w:val="24"/>
        </w:rPr>
        <w:t>提供不少于</w:t>
      </w:r>
      <w:r>
        <w:rPr>
          <w:rFonts w:hint="eastAsia" w:cs="Times New Roman"/>
          <w:sz w:val="24"/>
          <w:lang w:val="en-US" w:eastAsia="zh-CN"/>
        </w:rPr>
        <w:t>1</w:t>
      </w:r>
      <w:r>
        <w:rPr>
          <w:rFonts w:hint="eastAsia" w:eastAsia="宋体" w:cs="Times New Roman"/>
          <w:sz w:val="24"/>
        </w:rPr>
        <w:t>年的质保期，备品备件要满足至少一年的正常使用。</w:t>
      </w:r>
    </w:p>
    <w:p w14:paraId="361A2EE2">
      <w:pPr>
        <w:spacing w:line="288" w:lineRule="auto"/>
        <w:rPr>
          <w:rFonts w:eastAsia="宋体" w:cs="Times New Roman"/>
          <w:sz w:val="24"/>
        </w:rPr>
      </w:pPr>
      <w:r>
        <w:rPr>
          <w:rFonts w:hint="eastAsia" w:hAnsi="宋体" w:eastAsia="宋体" w:cs="Times New Roman"/>
          <w:b/>
          <w:sz w:val="24"/>
          <w:lang w:val="en-US" w:eastAsia="zh-CN"/>
        </w:rPr>
        <w:t>二．交货时间</w:t>
      </w:r>
      <w:r>
        <w:rPr>
          <w:rFonts w:eastAsia="宋体" w:cs="Times New Roman"/>
          <w:sz w:val="24"/>
        </w:rPr>
        <w:t>：合同生效后</w:t>
      </w:r>
      <w:r>
        <w:rPr>
          <w:rFonts w:hint="eastAsia" w:eastAsia="宋体" w:cs="Times New Roman"/>
          <w:sz w:val="24"/>
          <w:lang w:val="en-US" w:eastAsia="zh-CN"/>
        </w:rPr>
        <w:t>3</w:t>
      </w:r>
      <w:r>
        <w:rPr>
          <w:rFonts w:eastAsia="宋体" w:cs="Times New Roman"/>
          <w:sz w:val="24"/>
        </w:rPr>
        <w:t>个月</w:t>
      </w:r>
      <w:r>
        <w:rPr>
          <w:rFonts w:hint="eastAsia" w:eastAsia="宋体" w:cs="Times New Roman"/>
          <w:sz w:val="24"/>
        </w:rPr>
        <w:t>以内</w:t>
      </w:r>
      <w:r>
        <w:rPr>
          <w:rFonts w:eastAsia="宋体" w:cs="Times New Roman"/>
          <w:sz w:val="24"/>
        </w:rPr>
        <w:t>。</w:t>
      </w:r>
    </w:p>
    <w:p w14:paraId="7ADED19D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1.交货内容：</w:t>
      </w:r>
    </w:p>
    <w:p w14:paraId="756B343A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设备主件及附件；设备随机工具包</w:t>
      </w:r>
      <w:r>
        <w:rPr>
          <w:rFonts w:hint="eastAsia" w:ascii="宋体" w:hAnsi="宋体" w:cs="宋体"/>
          <w:b w:val="0"/>
          <w:bCs/>
          <w:sz w:val="21"/>
          <w:szCs w:val="21"/>
          <w:lang w:val="en-US" w:eastAsia="zh-CN"/>
        </w:rPr>
        <w:t>（包括但不限于镊子，加样勺，加样漏斗，坩埚盘，美工刀等）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，设备操作说明书</w:t>
      </w:r>
      <w:r>
        <w:rPr>
          <w:rFonts w:hint="eastAsia" w:ascii="宋体" w:hAnsi="宋体" w:cs="宋体"/>
          <w:b w:val="0"/>
          <w:bCs/>
          <w:sz w:val="21"/>
          <w:szCs w:val="21"/>
          <w:lang w:val="en-US" w:eastAsia="zh-CN"/>
        </w:rPr>
        <w:t>以及维护手册，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出厂检验报告等。</w:t>
      </w:r>
    </w:p>
    <w:p w14:paraId="599F8028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.交货地点：中南大学甲方指定地点。</w:t>
      </w:r>
    </w:p>
    <w:p w14:paraId="1BFDBB0E">
      <w:pPr>
        <w:widowControl w:val="0"/>
        <w:spacing w:after="120"/>
        <w:jc w:val="both"/>
        <w:rPr>
          <w:rFonts w:hint="eastAsia" w:ascii="Calibri" w:hAnsi="宋体" w:eastAsia="宋体" w:cs="Times New Roman"/>
          <w:b/>
          <w:kern w:val="2"/>
          <w:sz w:val="24"/>
          <w:szCs w:val="24"/>
          <w:lang w:val="en-US" w:eastAsia="zh-CN" w:bidi="ar-SA"/>
        </w:rPr>
      </w:pPr>
      <w:r>
        <w:rPr>
          <w:rFonts w:hint="eastAsia" w:ascii="Calibri" w:hAnsi="宋体" w:eastAsia="宋体" w:cs="Times New Roman"/>
          <w:b/>
          <w:kern w:val="2"/>
          <w:sz w:val="24"/>
          <w:szCs w:val="24"/>
          <w:lang w:val="en-US" w:eastAsia="zh-CN" w:bidi="ar-SA"/>
        </w:rPr>
        <w:t>三．付款方式</w:t>
      </w:r>
    </w:p>
    <w:p w14:paraId="58096AEC">
      <w:pPr>
        <w:numPr>
          <w:ilvl w:val="0"/>
          <w:numId w:val="0"/>
        </w:numPr>
        <w:kinsoku w:val="0"/>
        <w:overflowPunct w:val="0"/>
        <w:autoSpaceDE w:val="0"/>
        <w:autoSpaceDN w:val="0"/>
        <w:spacing w:line="288" w:lineRule="auto"/>
        <w:outlineLvl w:val="0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1.进口货物：100%信用证，见报关单后支付不高于合同全款的80%，验收合格后15个工作日内凭交接验收文件支付剩余款项。</w:t>
      </w:r>
    </w:p>
    <w:p w14:paraId="7DED3E70">
      <w:pP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2.国产货物：合同签订后7个工作日内，采购人支付合同全款的30%作预付款；货到采购人指定地点并经检查无误，同时中标人向采购人指定账户缴纳合同金额的5%作为履约保证金后7个工作日内支付合同全款的50%；安装调试完成并经验收合格后7个工作日内，向中标人支付合同全款的20%。履约保证金在验收合格之日起12个月后7个工作日内退回，不计利息。</w:t>
      </w:r>
    </w:p>
    <w:p w14:paraId="2835580C">
      <w:pPr>
        <w:rPr>
          <w:rFonts w:asciiTheme="minorEastAsia" w:hAnsiTheme="minorEastAsia" w:eastAsiaTheme="minorEastAsia" w:cstheme="minorEastAsia"/>
          <w:sz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9FF"/>
    <w:rsid w:val="000A4A86"/>
    <w:rsid w:val="002A643F"/>
    <w:rsid w:val="005B295A"/>
    <w:rsid w:val="00A159FF"/>
    <w:rsid w:val="00CC4219"/>
    <w:rsid w:val="00EA233A"/>
    <w:rsid w:val="01916C5A"/>
    <w:rsid w:val="048853BD"/>
    <w:rsid w:val="0671680A"/>
    <w:rsid w:val="06846D8D"/>
    <w:rsid w:val="08C47915"/>
    <w:rsid w:val="090B5543"/>
    <w:rsid w:val="0949606C"/>
    <w:rsid w:val="0BDF23BD"/>
    <w:rsid w:val="0BEC6FD6"/>
    <w:rsid w:val="0CA43CE5"/>
    <w:rsid w:val="0D0A196F"/>
    <w:rsid w:val="0D944959"/>
    <w:rsid w:val="0E032C8D"/>
    <w:rsid w:val="10E16B8A"/>
    <w:rsid w:val="16F90887"/>
    <w:rsid w:val="19D35C0A"/>
    <w:rsid w:val="1A504D2D"/>
    <w:rsid w:val="1F285ABE"/>
    <w:rsid w:val="215459C4"/>
    <w:rsid w:val="2406167B"/>
    <w:rsid w:val="24343749"/>
    <w:rsid w:val="27914D53"/>
    <w:rsid w:val="2A5E32CD"/>
    <w:rsid w:val="3623233E"/>
    <w:rsid w:val="369B7657"/>
    <w:rsid w:val="371F38C4"/>
    <w:rsid w:val="381F5114"/>
    <w:rsid w:val="3CCD59A8"/>
    <w:rsid w:val="415A01F3"/>
    <w:rsid w:val="417C0715"/>
    <w:rsid w:val="446B0669"/>
    <w:rsid w:val="449341AC"/>
    <w:rsid w:val="45FC1D1C"/>
    <w:rsid w:val="46640B89"/>
    <w:rsid w:val="476870E2"/>
    <w:rsid w:val="497C6E74"/>
    <w:rsid w:val="498521CD"/>
    <w:rsid w:val="4D31441A"/>
    <w:rsid w:val="4E591D49"/>
    <w:rsid w:val="566E5772"/>
    <w:rsid w:val="58847AF3"/>
    <w:rsid w:val="58C779E0"/>
    <w:rsid w:val="58FE1654"/>
    <w:rsid w:val="5CD070E8"/>
    <w:rsid w:val="62FF4946"/>
    <w:rsid w:val="64BD6867"/>
    <w:rsid w:val="68AE2AAE"/>
    <w:rsid w:val="6A2F3E70"/>
    <w:rsid w:val="6A4610AD"/>
    <w:rsid w:val="6EFD73D9"/>
    <w:rsid w:val="71E116BB"/>
    <w:rsid w:val="7329156C"/>
    <w:rsid w:val="757F36C5"/>
    <w:rsid w:val="75FE57E3"/>
    <w:rsid w:val="7601057E"/>
    <w:rsid w:val="787331B1"/>
    <w:rsid w:val="78AF42C1"/>
    <w:rsid w:val="79D1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kern w:val="0"/>
      <w:sz w:val="20"/>
    </w:rPr>
  </w:style>
  <w:style w:type="paragraph" w:styleId="3">
    <w:name w:val="annotation text"/>
    <w:basedOn w:val="1"/>
    <w:link w:val="10"/>
    <w:qFormat/>
    <w:uiPriority w:val="0"/>
    <w:pPr>
      <w:jc w:val="left"/>
    </w:pPr>
  </w:style>
  <w:style w:type="paragraph" w:styleId="4">
    <w:name w:val="Balloon Text"/>
    <w:basedOn w:val="1"/>
    <w:link w:val="12"/>
    <w:qFormat/>
    <w:uiPriority w:val="0"/>
    <w:rPr>
      <w:sz w:val="18"/>
      <w:szCs w:val="18"/>
    </w:rPr>
  </w:style>
  <w:style w:type="paragraph" w:styleId="5">
    <w:name w:val="Normal (Web)"/>
    <w:basedOn w:val="1"/>
    <w:qFormat/>
    <w:uiPriority w:val="99"/>
    <w:pPr>
      <w:spacing w:before="100" w:beforeAutospacing="1" w:after="100" w:afterAutospacing="1"/>
    </w:pPr>
    <w:rPr>
      <w:rFonts w:ascii="宋体" w:hAnsi="宋体" w:cs="宋体"/>
      <w:sz w:val="24"/>
    </w:rPr>
  </w:style>
  <w:style w:type="paragraph" w:styleId="6">
    <w:name w:val="annotation subject"/>
    <w:basedOn w:val="3"/>
    <w:next w:val="3"/>
    <w:link w:val="11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批注文字 字符"/>
    <w:basedOn w:val="8"/>
    <w:link w:val="3"/>
    <w:qFormat/>
    <w:uiPriority w:val="0"/>
    <w:rPr>
      <w:rFonts w:ascii="Calibri" w:hAnsi="Calibri"/>
      <w:kern w:val="2"/>
      <w:sz w:val="21"/>
      <w:szCs w:val="24"/>
    </w:rPr>
  </w:style>
  <w:style w:type="character" w:customStyle="1" w:styleId="11">
    <w:name w:val="批注主题 字符"/>
    <w:basedOn w:val="10"/>
    <w:link w:val="6"/>
    <w:qFormat/>
    <w:uiPriority w:val="0"/>
    <w:rPr>
      <w:rFonts w:ascii="Calibri" w:hAnsi="Calibri"/>
      <w:b/>
      <w:bCs/>
      <w:kern w:val="2"/>
      <w:sz w:val="21"/>
      <w:szCs w:val="24"/>
    </w:rPr>
  </w:style>
  <w:style w:type="character" w:customStyle="1" w:styleId="12">
    <w:name w:val="批注框文本 字符"/>
    <w:basedOn w:val="8"/>
    <w:link w:val="4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922</Words>
  <Characters>949</Characters>
  <Lines>3</Lines>
  <Paragraphs>1</Paragraphs>
  <TotalTime>3</TotalTime>
  <ScaleCrop>false</ScaleCrop>
  <LinksUpToDate>false</LinksUpToDate>
  <CharactersWithSpaces>949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2020-04-20T01:40:00Z</dcterms:created>
  <dc:creator>Administrator</dc:creator>
  <cp:lastModifiedBy>段池</cp:lastModifiedBy>
  <dcterms:modified xsi:type="dcterms:W3CDTF">2026-03-20T03:55:06Z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3A426682968E4D2ABC21A457EDFD20D5_13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