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52DFC3C">
      <w:pPr>
        <w:pStyle w:val="13"/>
        <w:numPr>
          <w:ilvl w:val="0"/>
          <w:numId w:val="0"/>
        </w:numPr>
        <w:autoSpaceDN w:val="0"/>
        <w:snapToGrid w:val="0"/>
        <w:spacing w:line="400" w:lineRule="exact"/>
        <w:rPr>
          <w:rFonts w:hint="eastAsia" w:eastAsiaTheme="minorEastAsia"/>
          <w:b/>
          <w:bCs/>
          <w:color w:val="auto"/>
          <w:lang w:eastAsia="zh-CN"/>
        </w:rPr>
      </w:pPr>
      <w:r>
        <w:rPr>
          <w:rFonts w:hint="eastAsia"/>
          <w:b/>
          <w:bCs/>
          <w:color w:val="auto"/>
        </w:rPr>
        <w:t>新型高特异性分子影像技术开发激励源</w:t>
      </w:r>
      <w:r>
        <w:rPr>
          <w:rFonts w:hint="eastAsia"/>
          <w:b/>
          <w:bCs/>
          <w:color w:val="auto"/>
          <w:lang w:eastAsia="zh-CN"/>
        </w:rPr>
        <w:t>：</w:t>
      </w:r>
    </w:p>
    <w:p w14:paraId="30A5DDA7">
      <w:pPr>
        <w:numPr>
          <w:ilvl w:val="0"/>
          <w:numId w:val="1"/>
        </w:numPr>
      </w:pPr>
      <w:r>
        <w:rPr>
          <w:rFonts w:hint="eastAsia"/>
        </w:rPr>
        <w:t>全一体化设计，全自动计算机波长调谐；</w:t>
      </w:r>
    </w:p>
    <w:p w14:paraId="0BA4782A">
      <w:pPr>
        <w:numPr>
          <w:ilvl w:val="0"/>
          <w:numId w:val="1"/>
        </w:numPr>
      </w:pPr>
      <w:r>
        <w:rPr>
          <w:rFonts w:hint="eastAsia"/>
        </w:rPr>
        <w:t>泵浦光，倍频光，闲频光同口输出，可软件控制切换；</w:t>
      </w:r>
    </w:p>
    <w:p w14:paraId="61D244AE">
      <w:pPr>
        <w:numPr>
          <w:ilvl w:val="0"/>
          <w:numId w:val="1"/>
        </w:numPr>
      </w:pPr>
      <w:r>
        <w:rPr>
          <w:rFonts w:hint="eastAsia"/>
        </w:rPr>
        <w:t>泵浦波长：</w:t>
      </w:r>
      <w:r>
        <w:t>532</w:t>
      </w:r>
      <w:r>
        <w:rPr>
          <w:rFonts w:hint="eastAsia"/>
        </w:rPr>
        <w:t>±</w:t>
      </w:r>
      <w:r>
        <w:t>10nm</w:t>
      </w:r>
      <w:r>
        <w:rPr>
          <w:rFonts w:hint="eastAsia"/>
        </w:rPr>
        <w:t>；</w:t>
      </w:r>
    </w:p>
    <w:p w14:paraId="2F7967AD">
      <w:pPr>
        <w:numPr>
          <w:ilvl w:val="0"/>
          <w:numId w:val="1"/>
        </w:numPr>
      </w:pPr>
      <w:r>
        <w:rPr>
          <w:rFonts w:hint="eastAsia"/>
        </w:rPr>
        <w:t>最大泵浦能量：≥</w:t>
      </w:r>
      <w:r>
        <w:t xml:space="preserve">400mJ </w:t>
      </w:r>
      <w:r>
        <w:rPr>
          <w:rFonts w:hint="eastAsia"/>
        </w:rPr>
        <w:t>；</w:t>
      </w:r>
    </w:p>
    <w:p w14:paraId="1283460F">
      <w:pPr>
        <w:numPr>
          <w:ilvl w:val="0"/>
          <w:numId w:val="1"/>
        </w:numPr>
      </w:pPr>
      <w:r>
        <w:rPr>
          <w:rFonts w:hint="eastAsia"/>
        </w:rPr>
        <w:t>重复频率：≥</w:t>
      </w:r>
      <w:r>
        <w:t>10Hz</w:t>
      </w:r>
      <w:r>
        <w:rPr>
          <w:rFonts w:hint="eastAsia"/>
        </w:rPr>
        <w:t>；</w:t>
      </w:r>
      <w:r>
        <w:t xml:space="preserve"> </w:t>
      </w:r>
    </w:p>
    <w:p w14:paraId="77DCC029">
      <w:pPr>
        <w:numPr>
          <w:ilvl w:val="0"/>
          <w:numId w:val="1"/>
        </w:numPr>
      </w:pPr>
      <w:r>
        <w:rPr>
          <w:rFonts w:hint="eastAsia"/>
        </w:rPr>
        <w:t>脉冲宽度：</w:t>
      </w:r>
      <w:r>
        <w:t>5</w:t>
      </w:r>
      <w:r>
        <w:rPr>
          <w:rFonts w:hint="eastAsia"/>
        </w:rPr>
        <w:t>～</w:t>
      </w:r>
      <w:r>
        <w:t>10ns</w:t>
      </w:r>
      <w:r>
        <w:rPr>
          <w:rFonts w:hint="eastAsia"/>
        </w:rPr>
        <w:t>；</w:t>
      </w:r>
      <w:r>
        <w:t xml:space="preserve"> </w:t>
      </w:r>
    </w:p>
    <w:p w14:paraId="6BC81F7F">
      <w:pPr>
        <w:numPr>
          <w:ilvl w:val="0"/>
          <w:numId w:val="1"/>
        </w:numPr>
      </w:pPr>
      <w:r>
        <w:rPr>
          <w:rFonts w:hint="eastAsia"/>
        </w:rPr>
        <w:t>波长调谐范围：</w:t>
      </w:r>
      <w:r>
        <w:t>680</w:t>
      </w:r>
      <w:r>
        <w:rPr>
          <w:rFonts w:hint="eastAsia"/>
        </w:rPr>
        <w:t>～</w:t>
      </w:r>
      <w:r>
        <w:t>950nm</w:t>
      </w:r>
      <w:r>
        <w:rPr>
          <w:rFonts w:hint="eastAsia"/>
        </w:rPr>
        <w:t>（信号光）、</w:t>
      </w:r>
      <w:r>
        <w:t>1200</w:t>
      </w:r>
      <w:r>
        <w:rPr>
          <w:rFonts w:hint="eastAsia"/>
        </w:rPr>
        <w:t>～</w:t>
      </w:r>
      <w:r>
        <w:t>2400nm (</w:t>
      </w:r>
      <w:r>
        <w:rPr>
          <w:rFonts w:hint="eastAsia"/>
        </w:rPr>
        <w:t>闲频光</w:t>
      </w:r>
      <w:r>
        <w:t>)@ 532nm</w:t>
      </w:r>
      <w:r>
        <w:rPr>
          <w:rFonts w:hint="eastAsia"/>
        </w:rPr>
        <w:t>泵浦；</w:t>
      </w:r>
    </w:p>
    <w:p w14:paraId="5ACB5CF6">
      <w:pPr>
        <w:numPr>
          <w:ilvl w:val="0"/>
          <w:numId w:val="1"/>
        </w:numPr>
      </w:pPr>
      <w:r>
        <w:rPr>
          <w:rFonts w:hint="eastAsia"/>
        </w:rPr>
        <w:t>可切换输出</w:t>
      </w:r>
      <w:r>
        <w:t xml:space="preserve"> 1064nm</w:t>
      </w:r>
      <w:r>
        <w:rPr>
          <w:rFonts w:hint="eastAsia"/>
        </w:rPr>
        <w:t>激光；</w:t>
      </w:r>
    </w:p>
    <w:p w14:paraId="121A070B">
      <w:pPr>
        <w:numPr>
          <w:ilvl w:val="0"/>
          <w:numId w:val="1"/>
        </w:numPr>
      </w:pPr>
      <w:r>
        <w:rPr>
          <w:rFonts w:hint="eastAsia"/>
        </w:rPr>
        <w:t>全波长调谐时间：≤</w:t>
      </w:r>
      <w:r>
        <w:t>50ms</w:t>
      </w:r>
      <w:r>
        <w:rPr>
          <w:rFonts w:hint="eastAsia"/>
        </w:rPr>
        <w:t>；</w:t>
      </w:r>
    </w:p>
    <w:p w14:paraId="5322817D">
      <w:pPr>
        <w:numPr>
          <w:ilvl w:val="0"/>
          <w:numId w:val="1"/>
        </w:numPr>
      </w:pPr>
      <w:r>
        <w:rPr>
          <w:rFonts w:hint="eastAsia"/>
        </w:rPr>
        <w:t>脉冲能量：≥</w:t>
      </w:r>
      <w:r>
        <w:t>80mJ</w:t>
      </w:r>
      <w:r>
        <w:rPr>
          <w:rFonts w:hint="eastAsia"/>
        </w:rPr>
        <w:t>；</w:t>
      </w:r>
    </w:p>
    <w:p w14:paraId="0EFEF390">
      <w:pPr>
        <w:numPr>
          <w:ilvl w:val="0"/>
          <w:numId w:val="1"/>
        </w:numPr>
      </w:pPr>
      <w:r>
        <w:rPr>
          <w:rFonts w:hint="eastAsia"/>
        </w:rPr>
        <w:t>能量稳定性：≤</w:t>
      </w:r>
      <w:r>
        <w:t>5%RMS@700-900nm</w:t>
      </w:r>
      <w:r>
        <w:rPr>
          <w:rFonts w:hint="eastAsia"/>
        </w:rPr>
        <w:t>；</w:t>
      </w:r>
    </w:p>
    <w:p w14:paraId="79FB5144">
      <w:pPr>
        <w:numPr>
          <w:ilvl w:val="0"/>
          <w:numId w:val="1"/>
        </w:numPr>
      </w:pPr>
      <w:r>
        <w:rPr>
          <w:rFonts w:hint="eastAsia"/>
        </w:rPr>
        <w:t>线宽：≤</w:t>
      </w:r>
      <w:r>
        <w:t>20 cm</w:t>
      </w:r>
      <w:r>
        <w:rPr>
          <w:vertAlign w:val="superscript"/>
        </w:rPr>
        <w:t>-1</w:t>
      </w:r>
      <w:r>
        <w:rPr>
          <w:rFonts w:hint="eastAsia"/>
        </w:rPr>
        <w:t>；</w:t>
      </w:r>
      <w:r>
        <w:t xml:space="preserve"> </w:t>
      </w:r>
    </w:p>
    <w:p w14:paraId="58C1497C">
      <w:pPr>
        <w:numPr>
          <w:ilvl w:val="0"/>
          <w:numId w:val="1"/>
        </w:numPr>
      </w:pPr>
      <w:r>
        <w:rPr>
          <w:rFonts w:hint="eastAsia"/>
        </w:rPr>
        <w:t>泵浦灯管寿命：≥</w:t>
      </w:r>
      <w:r>
        <w:t>7</w:t>
      </w:r>
      <w:r>
        <w:rPr>
          <w:rFonts w:hint="eastAsia"/>
        </w:rPr>
        <w:t>千万次；</w:t>
      </w:r>
      <w:r>
        <w:t xml:space="preserve"> </w:t>
      </w:r>
    </w:p>
    <w:p w14:paraId="36B92A9E">
      <w:pPr>
        <w:numPr>
          <w:ilvl w:val="0"/>
          <w:numId w:val="1"/>
        </w:numPr>
      </w:pPr>
      <w:r>
        <w:rPr>
          <w:rFonts w:hint="eastAsia"/>
        </w:rPr>
        <w:t>冷却方式：水冷；</w:t>
      </w:r>
      <w:r>
        <w:t xml:space="preserve"> </w:t>
      </w:r>
    </w:p>
    <w:p w14:paraId="63E86F67">
      <w:pPr>
        <w:numPr>
          <w:ilvl w:val="0"/>
          <w:numId w:val="1"/>
        </w:numPr>
      </w:pPr>
      <w:r>
        <w:rPr>
          <w:rFonts w:hint="eastAsia"/>
        </w:rPr>
        <w:t>软件控制波长和能量输出；</w:t>
      </w:r>
      <w:r>
        <w:t xml:space="preserve"> </w:t>
      </w:r>
    </w:p>
    <w:p w14:paraId="20DCD6F1">
      <w:r>
        <w:t xml:space="preserve">16. </w:t>
      </w:r>
      <w:r>
        <w:rPr>
          <w:rFonts w:hint="eastAsia"/>
        </w:rPr>
        <w:t>实时能量和波长监测反馈功能，可实时提供每个输出脉冲的波长和能量数据，波长监测分辨率≤</w:t>
      </w:r>
      <w:r>
        <w:rPr>
          <w:rFonts w:hint="eastAsia"/>
          <w:lang w:val="en-US" w:eastAsia="zh-CN"/>
        </w:rPr>
        <w:t>0.5</w:t>
      </w:r>
      <w:r>
        <w:t>nm</w:t>
      </w:r>
      <w:r>
        <w:rPr>
          <w:rFonts w:hint="eastAsia"/>
        </w:rPr>
        <w:t>，能量监测分辨率≤</w:t>
      </w:r>
      <w:r>
        <w:rPr>
          <w:rFonts w:hint="eastAsia"/>
          <w:lang w:val="en-US" w:eastAsia="zh-CN"/>
        </w:rPr>
        <w:t>0.5m</w:t>
      </w:r>
      <w:r>
        <w:t>J</w:t>
      </w:r>
      <w:r>
        <w:rPr>
          <w:rFonts w:hint="eastAsia"/>
        </w:rPr>
        <w:t>；</w:t>
      </w:r>
      <w:r>
        <w:t xml:space="preserve"> </w:t>
      </w:r>
    </w:p>
    <w:p w14:paraId="1084126F">
      <w:r>
        <w:t xml:space="preserve">17. </w:t>
      </w:r>
      <w:r>
        <w:rPr>
          <w:rFonts w:hint="eastAsia"/>
        </w:rPr>
        <w:t>具备连接光声</w:t>
      </w:r>
      <w:r>
        <w:t>DAQ</w:t>
      </w:r>
      <w:r>
        <w:rPr>
          <w:rFonts w:hint="eastAsia"/>
        </w:rPr>
        <w:t>和超声光声开发平台的实时通信控制接口，可由上位机实时控制激光脉冲能量和变波长输出，具有数据融合功能，数据采集设备获得的每帧数据中包含激发该帧数据的激光脉冲的能量和波长信息；</w:t>
      </w:r>
    </w:p>
    <w:p w14:paraId="5E444778">
      <w:r>
        <w:t xml:space="preserve">18. </w:t>
      </w:r>
      <w:r>
        <w:rPr>
          <w:rFonts w:hint="eastAsia"/>
        </w:rPr>
        <w:t>运输抗振</w:t>
      </w:r>
      <w:r>
        <w:rPr>
          <w:rFonts w:hint="eastAsia"/>
          <w:lang w:val="en-US" w:eastAsia="zh-CN"/>
        </w:rPr>
        <w:t>要求：</w:t>
      </w:r>
      <w:r>
        <w:rPr>
          <w:rFonts w:hint="eastAsia"/>
        </w:rPr>
        <w:t>激光器装配使用（非出厂时包装状态）后满足物流运输随机振动测试要求，振动测试后波长无偏移，能量无衰减，系统可正常工作；</w:t>
      </w:r>
    </w:p>
    <w:p w14:paraId="0ACDFA24">
      <w:r>
        <w:t xml:space="preserve">19. </w:t>
      </w:r>
      <w:r>
        <w:rPr>
          <w:rFonts w:hint="eastAsia"/>
        </w:rPr>
        <w:t>激光器在长宽高各方向尺寸≤</w:t>
      </w:r>
      <w:r>
        <w:t xml:space="preserve">600 mm </w:t>
      </w:r>
      <w:r>
        <w:rPr>
          <w:rFonts w:hint="eastAsia"/>
          <w:lang w:val="en-US" w:eastAsia="zh-CN"/>
        </w:rPr>
        <w:t>×</w:t>
      </w:r>
      <w:r>
        <w:t xml:space="preserve">500 mm </w:t>
      </w:r>
      <w:r>
        <w:rPr>
          <w:rFonts w:hint="eastAsia"/>
          <w:lang w:val="en-US" w:eastAsia="zh-CN"/>
        </w:rPr>
        <w:t>×</w:t>
      </w:r>
      <w:r>
        <w:t>160mm</w:t>
      </w:r>
      <w:r>
        <w:rPr>
          <w:rFonts w:hint="eastAsia"/>
        </w:rPr>
        <w:t>；</w:t>
      </w:r>
    </w:p>
    <w:p w14:paraId="64824831">
      <w:pPr>
        <w:rPr>
          <w:rFonts w:hint="eastAsia" w:eastAsia="宋体"/>
          <w:lang w:eastAsia="zh-CN"/>
        </w:rPr>
      </w:pPr>
      <w:r>
        <w:t xml:space="preserve">20. </w:t>
      </w:r>
      <w:bookmarkStart w:id="0" w:name="_GoBack"/>
      <w:bookmarkEnd w:id="0"/>
      <w:r>
        <w:rPr>
          <w:rFonts w:hint="eastAsia"/>
        </w:rPr>
        <w:t>电磁兼容性</w:t>
      </w:r>
      <w:r>
        <w:rPr>
          <w:rFonts w:hint="eastAsia"/>
          <w:lang w:val="en-US" w:eastAsia="zh-CN"/>
        </w:rPr>
        <w:t xml:space="preserve">要求 </w:t>
      </w:r>
      <w:r>
        <w:rPr>
          <w:rFonts w:hint="eastAsia"/>
          <w:lang w:eastAsia="zh-CN"/>
        </w:rPr>
        <w:t>：</w:t>
      </w:r>
      <w:r>
        <w:rPr>
          <w:rFonts w:hint="eastAsia"/>
        </w:rPr>
        <w:t>激光器出光运行时无影响光声</w:t>
      </w:r>
      <w:r>
        <w:t xml:space="preserve"> DAQ</w:t>
      </w:r>
      <w:r>
        <w:rPr>
          <w:rFonts w:hint="eastAsia"/>
        </w:rPr>
        <w:t>和超声光声开发平台正常采集工作的电磁干扰，引入电磁干扰噪声≤</w:t>
      </w:r>
      <w:r>
        <w:t>2nV/rtHz</w:t>
      </w:r>
      <w:r>
        <w:rPr>
          <w:rFonts w:hint="eastAsia"/>
        </w:rPr>
        <w:t>，</w:t>
      </w:r>
      <w:r>
        <w:rPr>
          <w:rFonts w:hint="eastAsia"/>
          <w:b/>
          <w:bCs/>
        </w:rPr>
        <w:t>须提供测试试验记录证明。</w:t>
      </w:r>
      <w:r>
        <w:rPr>
          <w:b/>
          <w:bCs/>
        </w:rPr>
        <w:t xml:space="preserve"> </w:t>
      </w:r>
    </w:p>
    <w:p w14:paraId="0522010A">
      <w:r>
        <w:t>21.</w:t>
      </w:r>
      <w:r>
        <w:rPr>
          <w:rFonts w:hint="eastAsia"/>
        </w:rPr>
        <w:t>具有光纤快插接口：可自由插拔光纤插头，且拔出后自动封闭光路实现内部防护。</w:t>
      </w:r>
    </w:p>
    <w:p w14:paraId="5006678E">
      <w:pPr>
        <w:rPr>
          <w:rFonts w:hint="eastAsia" w:ascii="宋体" w:hAnsi="宋体" w:eastAsia="宋体"/>
          <w:color w:val="auto"/>
          <w:szCs w:val="21"/>
        </w:rPr>
      </w:pPr>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B6B688">
    <w:pPr>
      <w:pStyle w:val="3"/>
      <w:rPr>
        <w:rFonts w:hint="eastAsia"/>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5E1FED0">
                          <w:pPr>
                            <w:pStyle w:val="3"/>
                            <w:rPr>
                              <w:rFonts w:hint="eastAsia"/>
                            </w:rPr>
                          </w:pPr>
                          <w:r>
                            <w:fldChar w:fldCharType="begin"/>
                          </w:r>
                          <w:r>
                            <w:instrText xml:space="preserve"> PAGE  \* MERGEFORMAT </w:instrText>
                          </w:r>
                          <w:r>
                            <w:fldChar w:fldCharType="separate"/>
                          </w:r>
                          <w:r>
                            <w:t>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66C/ssAgAAVQQAAA4AAABkcnMvZTJvRG9jLnhtbK1UzY7TMBC+I/EO&#10;lu80aRG7Vd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nroL+ywCAABVBAAADgAAAAAAAAABACAAAAAfAQAAZHJzL2Uyb0RvYy54bWxQSwUGAAAAAAYA&#10;BgBZAQAAvQUAAAAA&#10;">
              <v:fill on="f" focussize="0,0"/>
              <v:stroke on="f" weight="0.5pt"/>
              <v:imagedata o:title=""/>
              <o:lock v:ext="edit" aspectratio="f"/>
              <v:textbox inset="0mm,0mm,0mm,0mm" style="mso-fit-shape-to-text:t;">
                <w:txbxContent>
                  <w:p w14:paraId="75E1FED0">
                    <w:pPr>
                      <w:pStyle w:val="3"/>
                      <w:rPr>
                        <w:rFonts w:hint="eastAsia"/>
                      </w:rPr>
                    </w:pPr>
                    <w:r>
                      <w:fldChar w:fldCharType="begin"/>
                    </w:r>
                    <w:r>
                      <w:instrText xml:space="preserve"> PAGE  \* MERGEFORMAT </w:instrText>
                    </w:r>
                    <w:r>
                      <w:fldChar w:fldCharType="separate"/>
                    </w:r>
                    <w:r>
                      <w:t>5</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2438D5"/>
    <w:multiLevelType w:val="singleLevel"/>
    <w:tmpl w:val="192438D5"/>
    <w:lvl w:ilvl="0" w:tentative="0">
      <w:start w:val="1"/>
      <w:numFmt w:val="decimal"/>
      <w:lvlText w:val="%1."/>
      <w:legacy w:legacy="1" w:legacySpace="0" w:legacyIndent="360"/>
      <w:lvlJc w:val="left"/>
      <w:rPr>
        <w:rFonts w:hint="eastAsia" w:ascii="宋体" w:hAnsi="宋体" w:eastAsia="宋体"/>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xMTE3ZDJiNzc1NWM4YjRkZDliYzgyNzBlZmQxZGIifQ=="/>
  </w:docVars>
  <w:rsids>
    <w:rsidRoot w:val="00CD6EAE"/>
    <w:rsid w:val="00031C83"/>
    <w:rsid w:val="00032345"/>
    <w:rsid w:val="0003733A"/>
    <w:rsid w:val="000C0412"/>
    <w:rsid w:val="000D00CC"/>
    <w:rsid w:val="000E4D75"/>
    <w:rsid w:val="00130FA1"/>
    <w:rsid w:val="0013571B"/>
    <w:rsid w:val="00143AAA"/>
    <w:rsid w:val="00162A47"/>
    <w:rsid w:val="001A63EB"/>
    <w:rsid w:val="001C1B4D"/>
    <w:rsid w:val="001F385F"/>
    <w:rsid w:val="00232F82"/>
    <w:rsid w:val="002913C4"/>
    <w:rsid w:val="00300F82"/>
    <w:rsid w:val="003525EB"/>
    <w:rsid w:val="00390220"/>
    <w:rsid w:val="003A4468"/>
    <w:rsid w:val="003F6719"/>
    <w:rsid w:val="00435128"/>
    <w:rsid w:val="00453169"/>
    <w:rsid w:val="004A0B80"/>
    <w:rsid w:val="004F5257"/>
    <w:rsid w:val="005430F4"/>
    <w:rsid w:val="0057348A"/>
    <w:rsid w:val="006A7AB3"/>
    <w:rsid w:val="00754A60"/>
    <w:rsid w:val="007751A9"/>
    <w:rsid w:val="007F06CC"/>
    <w:rsid w:val="007F2BCA"/>
    <w:rsid w:val="00843DC5"/>
    <w:rsid w:val="00861CCC"/>
    <w:rsid w:val="009719FA"/>
    <w:rsid w:val="009937C3"/>
    <w:rsid w:val="00994514"/>
    <w:rsid w:val="009B0047"/>
    <w:rsid w:val="009F0007"/>
    <w:rsid w:val="00AC3136"/>
    <w:rsid w:val="00BF0637"/>
    <w:rsid w:val="00C43996"/>
    <w:rsid w:val="00CA1DB8"/>
    <w:rsid w:val="00CA55B0"/>
    <w:rsid w:val="00CD6EAE"/>
    <w:rsid w:val="00CD7AA4"/>
    <w:rsid w:val="00D22F17"/>
    <w:rsid w:val="00E53CDC"/>
    <w:rsid w:val="00E61BF5"/>
    <w:rsid w:val="00ED5129"/>
    <w:rsid w:val="00FA32C8"/>
    <w:rsid w:val="175B9F72"/>
    <w:rsid w:val="1D3A2B1E"/>
    <w:rsid w:val="202C095C"/>
    <w:rsid w:val="2758782A"/>
    <w:rsid w:val="27F54E4F"/>
    <w:rsid w:val="33DD0BAB"/>
    <w:rsid w:val="3EEBC7FE"/>
    <w:rsid w:val="53FFE30B"/>
    <w:rsid w:val="5DDC4D8C"/>
    <w:rsid w:val="5EDEA89A"/>
    <w:rsid w:val="67F34571"/>
    <w:rsid w:val="6FB735C1"/>
    <w:rsid w:val="6FEDE9EE"/>
    <w:rsid w:val="6FFDCA53"/>
    <w:rsid w:val="75DC5454"/>
    <w:rsid w:val="75FFF4CA"/>
    <w:rsid w:val="76DFBCCA"/>
    <w:rsid w:val="7BFBB631"/>
    <w:rsid w:val="7EFD6B0A"/>
    <w:rsid w:val="7FAF1E16"/>
    <w:rsid w:val="9E153135"/>
    <w:rsid w:val="9FFD120B"/>
    <w:rsid w:val="ABFE24BF"/>
    <w:rsid w:val="BCCB7354"/>
    <w:rsid w:val="C56FC9E8"/>
    <w:rsid w:val="CDF7928D"/>
    <w:rsid w:val="DE7FD748"/>
    <w:rsid w:val="DFF7FDD8"/>
    <w:rsid w:val="EB592AFF"/>
    <w:rsid w:val="ED7713A5"/>
    <w:rsid w:val="ED778617"/>
    <w:rsid w:val="F9B6F172"/>
    <w:rsid w:val="FB9652EA"/>
    <w:rsid w:val="FCFBE112"/>
    <w:rsid w:val="FEF6A9AA"/>
    <w:rsid w:val="FF777EC9"/>
    <w:rsid w:val="FFDFC5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annotation text"/>
    <w:basedOn w:val="1"/>
    <w:semiHidden/>
    <w:unhideWhenUsed/>
    <w:uiPriority w:val="99"/>
    <w:pPr>
      <w:jc w:val="left"/>
    </w:pPr>
  </w:style>
  <w:style w:type="paragraph" w:styleId="3">
    <w:name w:val="footer"/>
    <w:basedOn w:val="1"/>
    <w:link w:val="10"/>
    <w:unhideWhenUsed/>
    <w:qFormat/>
    <w:uiPriority w:val="0"/>
    <w:pPr>
      <w:tabs>
        <w:tab w:val="center" w:pos="4153"/>
        <w:tab w:val="right" w:pos="8306"/>
      </w:tabs>
      <w:snapToGrid w:val="0"/>
      <w:jc w:val="left"/>
    </w:pPr>
    <w:rPr>
      <w:sz w:val="18"/>
      <w:szCs w:val="18"/>
    </w:rPr>
  </w:style>
  <w:style w:type="paragraph" w:styleId="4">
    <w:name w:val="header"/>
    <w:basedOn w:val="1"/>
    <w:link w:val="11"/>
    <w:unhideWhenUsed/>
    <w:qFormat/>
    <w:uiPriority w:val="99"/>
    <w:pPr>
      <w:tabs>
        <w:tab w:val="center" w:pos="4153"/>
        <w:tab w:val="right" w:pos="8306"/>
      </w:tabs>
      <w:snapToGrid w:val="0"/>
      <w:jc w:val="center"/>
    </w:pPr>
    <w:rPr>
      <w:sz w:val="18"/>
      <w:szCs w:val="18"/>
    </w:rPr>
  </w:style>
  <w:style w:type="table" w:styleId="6">
    <w:name w:val="Table Grid"/>
    <w:basedOn w:val="5"/>
    <w:qFormat/>
    <w:uiPriority w:val="3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Strong"/>
    <w:basedOn w:val="7"/>
    <w:qFormat/>
    <w:uiPriority w:val="22"/>
    <w:rPr>
      <w:b/>
    </w:rPr>
  </w:style>
  <w:style w:type="character" w:styleId="9">
    <w:name w:val="annotation reference"/>
    <w:basedOn w:val="7"/>
    <w:semiHidden/>
    <w:unhideWhenUsed/>
    <w:qFormat/>
    <w:uiPriority w:val="99"/>
    <w:rPr>
      <w:sz w:val="21"/>
      <w:szCs w:val="21"/>
    </w:rPr>
  </w:style>
  <w:style w:type="character" w:customStyle="1" w:styleId="10">
    <w:name w:val="页脚 字符"/>
    <w:basedOn w:val="7"/>
    <w:link w:val="3"/>
    <w:qFormat/>
    <w:uiPriority w:val="0"/>
    <w:rPr>
      <w:sz w:val="18"/>
      <w:szCs w:val="18"/>
    </w:rPr>
  </w:style>
  <w:style w:type="character" w:customStyle="1" w:styleId="11">
    <w:name w:val="页眉 字符"/>
    <w:basedOn w:val="7"/>
    <w:link w:val="4"/>
    <w:qFormat/>
    <w:uiPriority w:val="99"/>
    <w:rPr>
      <w:sz w:val="18"/>
      <w:szCs w:val="18"/>
    </w:rPr>
  </w:style>
  <w:style w:type="paragraph" w:customStyle="1" w:styleId="12">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styleId="13">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546</Words>
  <Characters>650</Characters>
  <Lines>4</Lines>
  <Paragraphs>18</Paragraphs>
  <TotalTime>0</TotalTime>
  <ScaleCrop>false</ScaleCrop>
  <LinksUpToDate>false</LinksUpToDate>
  <CharactersWithSpaces>674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2022-11-20T07:01:00Z</dcterms:created>
  <dc:creator>Administrator</dc:creator>
  <cp:lastModifiedBy>段池</cp:lastModifiedBy>
  <dcterms:modified xsi:type="dcterms:W3CDTF">2025-11-24T09:21:03Z</dcterms:modified>
  <cp:revision>34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A2F0FF12197E478C8C9B0A63C617E258</vt:lpwstr>
  </property>
  <property fmtid="{D5CDD505-2E9C-101B-9397-08002B2CF9AE}" pid="4" name="GrammarlyDocumentId">
    <vt:lpwstr>821b8093169d0829942402c1d5677951b13888dddefaba5f777d418343929055</vt:lpwstr>
  </property>
  <property fmtid="{D5CDD505-2E9C-101B-9397-08002B2CF9AE}" pid="5" name="KSOTemplateDocerSaveRecord">
    <vt:lpwstr>eyJoZGlkIjoiMmVkMDYxNzg5YmJlZTUyODViYzkzNjVhMDVhMDUzYTYiLCJ1c2VySWQiOiIxNjg1MTkxNzc3In0=</vt:lpwstr>
  </property>
</Properties>
</file>