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104F9">
      <w:pPr>
        <w:rPr>
          <w:rFonts w:hint="eastAsia"/>
        </w:rPr>
      </w:pPr>
      <w:bookmarkStart w:id="0" w:name="OLE_LINK1"/>
      <w:r>
        <w:rPr>
          <w:rFonts w:hint="eastAsia"/>
        </w:rPr>
        <w:t>技术要求</w:t>
      </w:r>
    </w:p>
    <w:p w14:paraId="17889263">
      <w:pPr>
        <w:rPr>
          <w:rFonts w:hint="eastAsia"/>
          <w:b/>
          <w:iCs/>
          <w:u w:val="single"/>
        </w:rPr>
      </w:pPr>
      <w:r>
        <w:rPr>
          <w:rFonts w:hint="eastAsia"/>
        </w:rPr>
        <w:t>1.包1：工业互联网智能控制系统实验教学设备采购项目</w:t>
      </w:r>
    </w:p>
    <w:p w14:paraId="6D648FD7">
      <w:pPr>
        <w:rPr>
          <w:rStyle w:val="17"/>
          <w:rFonts w:hint="eastAsia" w:ascii="仿宋" w:hAnsi="仿宋" w:eastAsia="仿宋" w:cs="仿宋"/>
          <w:b w:val="0"/>
        </w:rPr>
      </w:pPr>
      <w:r>
        <w:rPr>
          <w:rFonts w:hint="eastAsia"/>
        </w:rPr>
        <w:t>1.1 采购标的1: 工业互联网智能控制系统实验教学设备</w:t>
      </w:r>
    </w:p>
    <w:p w14:paraId="51FA92DD">
      <w:pPr>
        <w:rPr>
          <w:rStyle w:val="17"/>
          <w:bCs w:val="0"/>
        </w:rPr>
      </w:pPr>
    </w:p>
    <w:p w14:paraId="2DA5F35B">
      <w:pPr>
        <w:rPr>
          <w:rStyle w:val="17"/>
          <w:bCs w:val="0"/>
        </w:rPr>
      </w:pPr>
      <w:r>
        <w:rPr>
          <w:rStyle w:val="17"/>
          <w:bCs w:val="0"/>
        </w:rPr>
        <w:t>一、总体要求</w:t>
      </w:r>
    </w:p>
    <w:p w14:paraId="5275AB8C">
      <w:pPr>
        <w:rPr>
          <w:rStyle w:val="17"/>
        </w:rPr>
      </w:pPr>
      <w:r>
        <w:t>本平台采用五层系统架构，由1</w:t>
      </w:r>
      <w:r>
        <w:rPr>
          <w:rFonts w:hint="eastAsia"/>
        </w:rPr>
        <w:t>0</w:t>
      </w:r>
      <w:r>
        <w:t>个独立的物理控制工位和1个中央监控管理中心构成。平台建设以硬件和数据采集为核心，各项技术指标均对标工业现场标准，须完整支持过程控制、工业网络通信、数字孪生仿真、AI算法研发、SCADA系统监控及软硬件二次开发等核心功能。控制系统具备大规模数据采集和处理能力。</w:t>
      </w:r>
    </w:p>
    <w:p w14:paraId="0742EA43">
      <w:r>
        <w:rPr>
          <w:rStyle w:val="17"/>
          <w:bCs w:val="0"/>
        </w:rPr>
        <w:t>二、系统主要组成部分及详细技术参数</w:t>
      </w:r>
    </w:p>
    <w:p w14:paraId="2D21BBFF">
      <w:r>
        <w:t>1.</w:t>
      </w:r>
      <w:r>
        <w:rPr>
          <w:rFonts w:hint="eastAsia"/>
        </w:rPr>
        <w:t xml:space="preserve"> </w:t>
      </w:r>
      <w:r>
        <w:t>物理控制单元</w:t>
      </w:r>
    </w:p>
    <w:p w14:paraId="0235ED33">
      <w:r>
        <w:rPr>
          <w:rFonts w:hint="eastAsia"/>
        </w:rPr>
        <w:t xml:space="preserve">1.1 </w:t>
      </w:r>
      <w:r>
        <w:t>总体要求</w:t>
      </w:r>
    </w:p>
    <w:p w14:paraId="69D95C8C">
      <w:r>
        <w:rPr>
          <w:rFonts w:ascii="Times New Roman" w:hAnsi="Times New Roman" w:cs="Times New Roman"/>
          <w:b/>
        </w:rPr>
        <w:t>1.1.1</w:t>
      </w:r>
      <w:r>
        <w:rPr>
          <w:rFonts w:hint="eastAsia" w:ascii="Times New Roman" w:hAnsi="Times New Roman" w:cs="Times New Roman"/>
          <w:b/>
        </w:rPr>
        <w:t xml:space="preserve"> </w:t>
      </w:r>
      <w:r>
        <w:t>工位数量：≥1</w:t>
      </w:r>
      <w:r>
        <w:rPr>
          <w:rFonts w:hint="eastAsia"/>
        </w:rPr>
        <w:t>0</w:t>
      </w:r>
      <w:r>
        <w:t>套独立工位</w:t>
      </w:r>
    </w:p>
    <w:p w14:paraId="52C04858">
      <w:pPr>
        <w:rPr>
          <w:shd w:val="clear" w:color="auto" w:fill="auto"/>
        </w:rPr>
      </w:pPr>
      <w:r>
        <w:rPr>
          <w:rFonts w:ascii="Times New Roman" w:hAnsi="Times New Roman" w:cs="Times New Roman"/>
        </w:rPr>
        <w:t>1.1.2</w:t>
      </w:r>
      <w:r>
        <w:rPr>
          <w:rFonts w:hint="eastAsia" w:ascii="Times New Roman" w:hAnsi="Times New Roman" w:cs="Times New Roman"/>
        </w:rPr>
        <w:t xml:space="preserve"> </w:t>
      </w:r>
      <w:r>
        <w:rPr>
          <w:shd w:val="clear" w:color="auto" w:fill="auto"/>
        </w:rPr>
        <w:t>一致性要求：所有1</w:t>
      </w:r>
      <w:r>
        <w:rPr>
          <w:rFonts w:hint="eastAsia"/>
          <w:shd w:val="clear" w:color="auto" w:fill="auto"/>
        </w:rPr>
        <w:t>0</w:t>
      </w:r>
      <w:r>
        <w:rPr>
          <w:shd w:val="clear" w:color="auto" w:fill="auto"/>
        </w:rPr>
        <w:t>套装置的机械尺寸、容量、仪表规格及动态特性必须严格一致，以确保实验数据的可比性与教学的可重复性。</w:t>
      </w:r>
    </w:p>
    <w:p w14:paraId="35A42E83">
      <w:r>
        <w:rPr>
          <w:rFonts w:ascii="Times New Roman" w:hAnsi="Times New Roman" w:cs="Times New Roman"/>
          <w:b/>
        </w:rPr>
        <w:t>1.1.3</w:t>
      </w:r>
      <w:r>
        <w:rPr>
          <w:rFonts w:hint="eastAsia" w:ascii="Times New Roman" w:hAnsi="Times New Roman" w:cs="Times New Roman"/>
          <w:b/>
        </w:rPr>
        <w:t xml:space="preserve"> </w:t>
      </w:r>
      <w:r>
        <w:rPr>
          <w:b/>
        </w:rPr>
        <w:t>被控变量</w:t>
      </w:r>
      <w:r>
        <w:t>：液位、流量、温度、压力</w:t>
      </w:r>
      <w:r>
        <w:rPr>
          <w:rFonts w:hint="eastAsia"/>
        </w:rPr>
        <w:t>。</w:t>
      </w:r>
    </w:p>
    <w:p w14:paraId="7699298F">
      <w:r>
        <w:rPr>
          <w:rFonts w:hint="eastAsia"/>
        </w:rPr>
        <w:t>1.2 核心被控设备</w:t>
      </w:r>
    </w:p>
    <w:p w14:paraId="6CDC4836">
      <w:r>
        <w:rPr>
          <w:rFonts w:ascii="Times New Roman" w:hAnsi="Times New Roman" w:cs="Times New Roman"/>
          <w:b/>
        </w:rPr>
        <w:t xml:space="preserve">1.2.1 </w:t>
      </w:r>
      <w:r>
        <w:rPr>
          <w:rFonts w:hint="eastAsia" w:ascii="微软雅黑" w:hAnsi="微软雅黑" w:eastAsia="微软雅黑" w:cs="微软雅黑"/>
        </w:rPr>
        <w:t xml:space="preserve"> </w:t>
      </w:r>
      <w:r>
        <w:rPr>
          <w:rFonts w:hint="eastAsia"/>
          <w:b/>
        </w:rPr>
        <w:t>反应罐系统</w:t>
      </w:r>
      <w:r>
        <w:rPr>
          <w:rFonts w:hint="eastAsia"/>
        </w:rPr>
        <w:t>：≥10套，</w:t>
      </w:r>
      <w:r>
        <w:t>每套均为一个完整的</w:t>
      </w:r>
      <w:r>
        <w:rPr>
          <w:rFonts w:hint="eastAsia"/>
        </w:rPr>
        <w:t>真实</w:t>
      </w:r>
      <w:r>
        <w:t>流体处理系统，</w:t>
      </w:r>
      <w:r>
        <w:rPr>
          <w:rFonts w:hint="eastAsia"/>
        </w:rPr>
        <w:t>可独立开展过程控制实验。</w:t>
      </w:r>
    </w:p>
    <w:p w14:paraId="59CB23CC">
      <w:pPr>
        <w:rPr>
          <w:shd w:val="clear" w:color="auto" w:fill="auto"/>
        </w:rPr>
      </w:pPr>
      <w:r>
        <w:rPr>
          <w:rFonts w:ascii="Times New Roman" w:hAnsi="Times New Roman" w:cs="Times New Roman"/>
          <w:b/>
        </w:rPr>
        <w:t>1.2.1.1</w:t>
      </w:r>
      <w:r>
        <w:rPr>
          <w:rFonts w:hint="eastAsia" w:ascii="Times New Roman" w:hAnsi="Times New Roman" w:cs="Times New Roman"/>
          <w:b/>
        </w:rPr>
        <w:t xml:space="preserve"> </w:t>
      </w:r>
      <w:r>
        <w:rPr>
          <w:b/>
          <w:shd w:val="clear" w:color="auto" w:fill="auto"/>
        </w:rPr>
        <w:t>结构与材质</w:t>
      </w:r>
      <w:r>
        <w:rPr>
          <w:shd w:val="clear" w:color="auto" w:fill="auto"/>
        </w:rPr>
        <w:t>：</w:t>
      </w:r>
      <w:r>
        <w:rPr>
          <w:rFonts w:hint="eastAsia"/>
          <w:shd w:val="clear" w:color="auto" w:fill="auto"/>
        </w:rPr>
        <w:t>每套包含一个</w:t>
      </w:r>
      <w:r>
        <w:rPr>
          <w:b/>
          <w:shd w:val="clear" w:color="auto" w:fill="auto"/>
        </w:rPr>
        <w:t>上下串级</w:t>
      </w:r>
      <w:r>
        <w:rPr>
          <w:shd w:val="clear" w:color="auto" w:fill="auto"/>
        </w:rPr>
        <w:t>的双容</w:t>
      </w:r>
      <w:r>
        <w:rPr>
          <w:rFonts w:hint="eastAsia"/>
          <w:shd w:val="clear" w:color="auto" w:fill="auto"/>
        </w:rPr>
        <w:t>罐体</w:t>
      </w:r>
      <w:r>
        <w:rPr>
          <w:shd w:val="clear" w:color="auto" w:fill="auto"/>
        </w:rPr>
        <w:t>结构</w:t>
      </w:r>
      <w:r>
        <w:rPr>
          <w:rFonts w:hint="eastAsia"/>
          <w:shd w:val="clear" w:color="auto" w:fill="auto"/>
        </w:rPr>
        <w:t>（罐体1、罐体2）、加热内胆、串级的双容低压罐体结构和一个储</w:t>
      </w:r>
      <w:r>
        <w:rPr>
          <w:shd w:val="clear" w:color="auto" w:fill="auto"/>
        </w:rPr>
        <w:t>水箱。</w:t>
      </w:r>
      <w:r>
        <w:rPr>
          <w:rFonts w:hint="eastAsia"/>
          <w:shd w:val="clear" w:color="auto" w:fill="auto"/>
        </w:rPr>
        <w:t>罐体2为上位罐，罐体1为下位罐，均</w:t>
      </w:r>
      <w:r>
        <w:rPr>
          <w:shd w:val="clear" w:color="auto" w:fill="auto"/>
        </w:rPr>
        <w:t>含上水口、下水口、溢流口及管道连接</w:t>
      </w:r>
      <w:r>
        <w:rPr>
          <w:rFonts w:hint="eastAsia"/>
          <w:shd w:val="clear" w:color="auto" w:fill="auto"/>
        </w:rPr>
        <w:t>。加热内胆可拆卸，含上水口和下水口。储</w:t>
      </w:r>
      <w:r>
        <w:rPr>
          <w:shd w:val="clear" w:color="auto" w:fill="auto"/>
        </w:rPr>
        <w:t>水箱含溢流口、排水口</w:t>
      </w:r>
      <w:r>
        <w:rPr>
          <w:rFonts w:hint="eastAsia"/>
          <w:shd w:val="clear" w:color="auto" w:fill="auto"/>
        </w:rPr>
        <w:t>。</w:t>
      </w:r>
      <w:r>
        <w:rPr>
          <w:shd w:val="clear" w:color="auto" w:fill="auto"/>
        </w:rPr>
        <w:t>罐体</w:t>
      </w:r>
      <w:r>
        <w:rPr>
          <w:rFonts w:hint="eastAsia"/>
          <w:shd w:val="clear" w:color="auto" w:fill="auto"/>
        </w:rPr>
        <w:t>1和罐体2</w:t>
      </w:r>
      <w:r>
        <w:rPr>
          <w:shd w:val="clear" w:color="auto" w:fill="auto"/>
        </w:rPr>
        <w:t>采用</w:t>
      </w:r>
      <w:r>
        <w:rPr>
          <w:b/>
          <w:shd w:val="clear" w:color="auto" w:fill="auto"/>
        </w:rPr>
        <w:t>亚克力</w:t>
      </w:r>
      <w:r>
        <w:rPr>
          <w:shd w:val="clear" w:color="auto" w:fill="auto"/>
        </w:rPr>
        <w:t>制作，管道采用</w:t>
      </w:r>
      <w:r>
        <w:rPr>
          <w:b/>
          <w:shd w:val="clear" w:color="auto" w:fill="auto"/>
        </w:rPr>
        <w:t>304不锈钢</w:t>
      </w:r>
      <w:r>
        <w:rPr>
          <w:shd w:val="clear" w:color="auto" w:fill="auto"/>
        </w:rPr>
        <w:t>，确保学生可直观观察罐体内部流体动态。</w:t>
      </w:r>
    </w:p>
    <w:p w14:paraId="61291D67">
      <w:pPr>
        <w:rPr>
          <w:shd w:val="clear" w:color="auto" w:fill="auto"/>
        </w:rPr>
      </w:pPr>
      <w:r>
        <w:t>1.2.1.2</w:t>
      </w:r>
      <w:r>
        <w:rPr>
          <w:rFonts w:hint="eastAsia"/>
        </w:rPr>
        <w:t xml:space="preserve"> </w:t>
      </w:r>
      <w:r>
        <w:rPr>
          <w:shd w:val="clear" w:color="auto" w:fill="auto"/>
        </w:rPr>
        <w:t>管路构成：</w:t>
      </w:r>
    </w:p>
    <w:p w14:paraId="0159DF86">
      <w:pPr>
        <w:rPr>
          <w:shd w:val="clear" w:color="auto" w:fill="auto"/>
        </w:rPr>
      </w:pPr>
      <w:r>
        <w:rPr>
          <w:rFonts w:hint="eastAsia"/>
          <w:shd w:val="clear" w:color="auto" w:fill="auto"/>
        </w:rPr>
        <w:t>① 主回路（水路）：手阀 + 泵 + 调节阀 + 流量变送器 + 罐体1进水手阀 + 罐体2进水手阀。</w:t>
      </w:r>
    </w:p>
    <w:p w14:paraId="6FE0C8C1">
      <w:pPr>
        <w:rPr>
          <w:shd w:val="clear" w:color="auto" w:fill="auto"/>
        </w:rPr>
      </w:pPr>
      <w:r>
        <w:rPr>
          <w:rFonts w:hint="eastAsia"/>
          <w:shd w:val="clear" w:color="auto" w:fill="auto"/>
        </w:rPr>
        <w:t>② 副回路（水路）：手阀 + 泵 + 调节阀 + 流量变送器 + 罐体1进水手阀 + 罐体2进水手阀。</w:t>
      </w:r>
    </w:p>
    <w:p w14:paraId="1D829358">
      <w:pPr>
        <w:rPr>
          <w:shd w:val="clear" w:color="auto" w:fill="auto"/>
        </w:rPr>
      </w:pPr>
      <w:r>
        <w:rPr>
          <w:rFonts w:hint="eastAsia"/>
          <w:shd w:val="clear" w:color="auto" w:fill="auto"/>
        </w:rPr>
        <w:t xml:space="preserve">③ </w:t>
      </w:r>
      <w:r>
        <w:rPr>
          <w:shd w:val="clear" w:color="auto" w:fill="auto"/>
        </w:rPr>
        <w:t>气体回路（气路）：低压气泵 +</w:t>
      </w:r>
      <w:r>
        <w:rPr>
          <w:rFonts w:hint="eastAsia"/>
          <w:shd w:val="clear" w:color="auto" w:fill="auto"/>
        </w:rPr>
        <w:t xml:space="preserve"> </w:t>
      </w:r>
      <w:r>
        <w:rPr>
          <w:shd w:val="clear" w:color="auto" w:fill="auto"/>
        </w:rPr>
        <w:t xml:space="preserve">调节阀 + </w:t>
      </w:r>
      <w:r>
        <w:rPr>
          <w:rFonts w:hint="eastAsia"/>
          <w:shd w:val="clear" w:color="auto" w:fill="auto"/>
        </w:rPr>
        <w:t>串级的</w:t>
      </w:r>
      <w:r>
        <w:rPr>
          <w:shd w:val="clear" w:color="auto" w:fill="auto"/>
        </w:rPr>
        <w:t>双容低压罐体</w:t>
      </w:r>
      <w:r>
        <w:rPr>
          <w:rFonts w:hint="eastAsia"/>
          <w:shd w:val="clear" w:color="auto" w:fill="auto"/>
        </w:rPr>
        <w:t xml:space="preserve"> </w:t>
      </w:r>
      <w:r>
        <w:rPr>
          <w:shd w:val="clear" w:color="auto" w:fill="auto"/>
        </w:rPr>
        <w:t>+</w:t>
      </w:r>
      <w:r>
        <w:rPr>
          <w:rFonts w:hint="eastAsia"/>
          <w:shd w:val="clear" w:color="auto" w:fill="auto"/>
        </w:rPr>
        <w:t xml:space="preserve"> 自动</w:t>
      </w:r>
      <w:r>
        <w:rPr>
          <w:shd w:val="clear" w:color="auto" w:fill="auto"/>
        </w:rPr>
        <w:t>泄压阀。</w:t>
      </w:r>
    </w:p>
    <w:p w14:paraId="355B6652">
      <w:pPr>
        <w:rPr>
          <w:shd w:val="clear" w:color="auto" w:fill="auto"/>
        </w:rPr>
      </w:pPr>
      <w:r>
        <w:rPr>
          <w:rFonts w:hint="eastAsia"/>
          <w:shd w:val="clear" w:color="auto" w:fill="auto"/>
        </w:rPr>
        <w:t>④ 加热回路：加热内胆位于罐体1，配备加热装置、内胆排水阀。</w:t>
      </w:r>
    </w:p>
    <w:p w14:paraId="0E7118FB">
      <w:pPr>
        <w:rPr>
          <w:shd w:val="clear" w:color="auto" w:fill="auto"/>
        </w:rPr>
      </w:pPr>
      <w:r>
        <w:rPr>
          <w:rFonts w:hint="eastAsia"/>
          <w:shd w:val="clear" w:color="auto" w:fill="auto"/>
        </w:rPr>
        <w:t>⑤ 系统扩展：罐体1、罐体2均配备排水手阀，罐体1预留连接其它</w:t>
      </w:r>
      <w:r>
        <w:rPr>
          <w:rFonts w:hint="eastAsia"/>
          <w:b/>
          <w:shd w:val="clear" w:color="auto" w:fill="auto"/>
        </w:rPr>
        <w:t>反应罐系统</w:t>
      </w:r>
      <w:r>
        <w:rPr>
          <w:rFonts w:hint="eastAsia"/>
          <w:shd w:val="clear" w:color="auto" w:fill="auto"/>
        </w:rPr>
        <w:t>的备用手阀，所有反应罐之间通过管道连接。</w:t>
      </w:r>
    </w:p>
    <w:p w14:paraId="23D809B6">
      <w:pPr>
        <w:rPr>
          <w:b/>
        </w:rPr>
      </w:pPr>
      <w:r>
        <w:rPr>
          <w:rFonts w:ascii="Times New Roman" w:hAnsi="Times New Roman" w:cs="Times New Roman"/>
          <w:b/>
        </w:rPr>
        <w:t>1.2.2</w:t>
      </w:r>
      <w:r>
        <w:rPr>
          <w:rFonts w:hint="eastAsia" w:ascii="Times New Roman" w:hAnsi="Times New Roman" w:cs="Times New Roman"/>
          <w:b/>
        </w:rPr>
        <w:t xml:space="preserve"> </w:t>
      </w:r>
      <w:r>
        <w:rPr>
          <w:rFonts w:hint="eastAsia"/>
          <w:b/>
        </w:rPr>
        <w:t>热成像测温装置</w:t>
      </w:r>
      <w:r>
        <w:rPr>
          <w:rFonts w:hint="eastAsia"/>
        </w:rPr>
        <w:t>：≥1套，包含位置固定的面阵热成像传感器（分辨率≥32*32）、可拆卸的蜡熔融模块（替换加热内胆），支持热电偶插入，支持通过标准工业以太网直接接入局域网，将热成像数据通过标准工业协议（Modbus TCP等）实时传输至SCADA系统。</w:t>
      </w:r>
    </w:p>
    <w:p w14:paraId="31F94B42">
      <w:r>
        <w:rPr>
          <w:rFonts w:ascii="Times New Roman" w:hAnsi="Times New Roman" w:cs="Times New Roman"/>
          <w:b/>
        </w:rPr>
        <w:t>1.2.3</w:t>
      </w:r>
      <w:r>
        <w:rPr>
          <w:rFonts w:hint="eastAsia" w:ascii="微软雅黑" w:hAnsi="微软雅黑" w:eastAsia="微软雅黑" w:cs="微软雅黑"/>
        </w:rPr>
        <w:t xml:space="preserve"> </w:t>
      </w:r>
      <w:r>
        <w:rPr>
          <w:rFonts w:hint="eastAsia"/>
          <w:b/>
        </w:rPr>
        <w:t>反应釜模型</w:t>
      </w:r>
      <w:r>
        <w:rPr>
          <w:rFonts w:hint="eastAsia"/>
        </w:rPr>
        <w:t>：≥2套，用于模拟强化反应过程，具备温度、压力、搅拌控制，材质为不锈钢。</w:t>
      </w:r>
    </w:p>
    <w:p w14:paraId="43C8E909">
      <w:r>
        <w:rPr>
          <w:rFonts w:ascii="Times New Roman" w:hAnsi="Times New Roman" w:cs="Times New Roman"/>
          <w:b/>
        </w:rPr>
        <w:t xml:space="preserve">1.2.4 </w:t>
      </w:r>
      <w:r>
        <w:rPr>
          <w:rFonts w:hint="eastAsia" w:ascii="微软雅黑" w:hAnsi="微软雅黑" w:eastAsia="微软雅黑" w:cs="微软雅黑"/>
        </w:rPr>
        <w:t xml:space="preserve"> </w:t>
      </w:r>
      <w:r>
        <w:rPr>
          <w:rFonts w:hint="eastAsia"/>
          <w:b/>
        </w:rPr>
        <w:t>回转窑模型</w:t>
      </w:r>
      <w:r>
        <w:rPr>
          <w:rFonts w:hint="eastAsia"/>
        </w:rPr>
        <w:t>：≥1套，具备传送带速度控制、旋转速度控制、鼓风压力控制等关键功能点。</w:t>
      </w:r>
    </w:p>
    <w:p w14:paraId="0DA0D1BE">
      <w:r>
        <w:rPr>
          <w:rFonts w:hint="eastAsia"/>
        </w:rPr>
        <w:t xml:space="preserve">1.3 </w:t>
      </w:r>
      <w:r>
        <w:t>过程控制系统与仪表</w:t>
      </w:r>
    </w:p>
    <w:p w14:paraId="6D9B26D5">
      <w:r>
        <w:rPr>
          <w:rFonts w:hint="eastAsia"/>
        </w:rPr>
        <w:t>每套反应罐系统均须完整配置以下系统与仪表：</w:t>
      </w:r>
    </w:p>
    <w:p w14:paraId="742DBE26">
      <w:r>
        <w:rPr>
          <w:rFonts w:ascii="Times New Roman" w:hAnsi="Times New Roman" w:cs="Times New Roman"/>
        </w:rPr>
        <w:t>1.3.1</w:t>
      </w:r>
      <w:r>
        <w:rPr>
          <w:rFonts w:hint="eastAsia" w:ascii="Times New Roman" w:hAnsi="Times New Roman" w:cs="Times New Roman"/>
        </w:rPr>
        <w:t xml:space="preserve"> </w:t>
      </w:r>
      <w:r>
        <w:t>液位系统：</w:t>
      </w:r>
      <w:r>
        <w:rPr>
          <w:rFonts w:hint="eastAsia"/>
        </w:rPr>
        <w:t>基于前述的</w:t>
      </w:r>
      <w:r>
        <w:t>双容</w:t>
      </w:r>
      <w:r>
        <w:rPr>
          <w:rFonts w:hint="eastAsia"/>
        </w:rPr>
        <w:t>罐体</w:t>
      </w:r>
      <w:r>
        <w:t>结构，配置2台工业级液位</w:t>
      </w:r>
      <w:r>
        <w:rPr>
          <w:rFonts w:hint="eastAsia"/>
        </w:rPr>
        <w:t>传感器及其</w:t>
      </w:r>
      <w:r>
        <w:t>变送器（量程0</w:t>
      </w:r>
      <w:r>
        <w:rPr>
          <w:rFonts w:hint="eastAsia"/>
        </w:rPr>
        <w:t>~5</w:t>
      </w:r>
      <w:r>
        <w:t>0</w:t>
      </w:r>
      <w:r>
        <w:rPr>
          <w:rFonts w:hint="eastAsia"/>
        </w:rPr>
        <w:t>c</w:t>
      </w:r>
      <w:r>
        <w:t>m，精度≤</w:t>
      </w:r>
      <w:r>
        <w:rPr>
          <w:rStyle w:val="17"/>
          <w:rFonts w:hint="eastAsia"/>
          <w:bCs w:val="0"/>
        </w:rPr>
        <w:t>±</w:t>
      </w:r>
      <w:r>
        <w:rPr>
          <w:rFonts w:hint="eastAsia"/>
        </w:rPr>
        <w:t>1</w:t>
      </w:r>
      <w:r>
        <w:t>%）</w:t>
      </w:r>
      <w:r>
        <w:rPr>
          <w:rFonts w:hint="eastAsia"/>
        </w:rPr>
        <w:t>。</w:t>
      </w:r>
    </w:p>
    <w:p w14:paraId="19E4B2EA">
      <w:r>
        <w:rPr>
          <w:rFonts w:ascii="Times New Roman" w:hAnsi="Times New Roman" w:cs="Times New Roman"/>
          <w:b/>
        </w:rPr>
        <w:t>1.3.2</w:t>
      </w:r>
      <w:r>
        <w:rPr>
          <w:rFonts w:hint="eastAsia" w:ascii="Times New Roman" w:hAnsi="Times New Roman" w:cs="Times New Roman"/>
          <w:b/>
        </w:rPr>
        <w:t xml:space="preserve"> </w:t>
      </w:r>
      <w:r>
        <w:rPr>
          <w:b/>
        </w:rPr>
        <w:t>流量系统</w:t>
      </w:r>
      <w:r>
        <w:t>：</w:t>
      </w:r>
      <w:r>
        <w:rPr>
          <w:rFonts w:hint="eastAsia"/>
        </w:rPr>
        <w:t>基于前述的主回路、副回路管路</w:t>
      </w:r>
      <w:r>
        <w:t>，实现精确</w:t>
      </w:r>
      <w:r>
        <w:rPr>
          <w:rFonts w:hint="eastAsia"/>
        </w:rPr>
        <w:t>的</w:t>
      </w:r>
      <w:r>
        <w:t>流量比值控制，配置2台流量计</w:t>
      </w:r>
      <w:r>
        <w:rPr>
          <w:rFonts w:hint="eastAsia"/>
        </w:rPr>
        <w:t>及其变送器</w:t>
      </w:r>
      <w:r>
        <w:t>（</w:t>
      </w:r>
      <w:r>
        <w:rPr>
          <w:rStyle w:val="17"/>
          <w:rFonts w:hint="eastAsia"/>
          <w:bCs w:val="0"/>
        </w:rPr>
        <w:t>电磁，</w:t>
      </w:r>
      <w:r>
        <w:t>量程</w:t>
      </w:r>
      <w:r>
        <w:rPr>
          <w:rStyle w:val="17"/>
          <w:rFonts w:hint="eastAsia"/>
          <w:bCs w:val="0"/>
        </w:rPr>
        <w:t>0-5m³/h</w:t>
      </w:r>
      <w:r>
        <w:rPr>
          <w:rFonts w:hint="eastAsia"/>
        </w:rPr>
        <w:t>，</w:t>
      </w:r>
      <w:r>
        <w:t>精度≤</w:t>
      </w:r>
      <w:r>
        <w:rPr>
          <w:rStyle w:val="17"/>
          <w:rFonts w:hint="eastAsia"/>
          <w:bCs w:val="0"/>
        </w:rPr>
        <w:t>±0.5%</w:t>
      </w:r>
      <w:r>
        <w:t>）</w:t>
      </w:r>
      <w:r>
        <w:rPr>
          <w:rFonts w:hint="eastAsia"/>
        </w:rPr>
        <w:t>。</w:t>
      </w:r>
    </w:p>
    <w:p w14:paraId="75B07F44">
      <w:r>
        <w:rPr>
          <w:rFonts w:ascii="Times New Roman" w:hAnsi="Times New Roman" w:cs="Times New Roman"/>
          <w:b/>
        </w:rPr>
        <w:t>1.3.3</w:t>
      </w:r>
      <w:r>
        <w:rPr>
          <w:rFonts w:hint="eastAsia" w:ascii="Times New Roman" w:hAnsi="Times New Roman" w:cs="Times New Roman"/>
          <w:b/>
        </w:rPr>
        <w:t xml:space="preserve"> </w:t>
      </w:r>
      <w:r>
        <w:rPr>
          <w:b/>
        </w:rPr>
        <w:t>温度系统</w:t>
      </w:r>
      <w:r>
        <w:t>：</w:t>
      </w:r>
      <w:r>
        <w:rPr>
          <w:rFonts w:hint="eastAsia"/>
        </w:rPr>
        <w:t>基于前述的加热内胆，</w:t>
      </w:r>
      <w:r>
        <w:t>配置安全电加热装置</w:t>
      </w:r>
      <w:r>
        <w:rPr>
          <w:rFonts w:hint="eastAsia"/>
        </w:rPr>
        <w:t>（含干烧保护装置）、</w:t>
      </w:r>
      <w:r>
        <w:t>温度</w:t>
      </w:r>
      <w:r>
        <w:rPr>
          <w:rFonts w:hint="eastAsia"/>
        </w:rPr>
        <w:t>计及其变送器</w:t>
      </w:r>
      <w:r>
        <w:t>（</w:t>
      </w:r>
      <w:r>
        <w:rPr>
          <w:rStyle w:val="17"/>
          <w:rFonts w:hint="eastAsia"/>
          <w:bCs w:val="0"/>
        </w:rPr>
        <w:t>PT100测温，</w:t>
      </w:r>
      <w:r>
        <w:t>量程0</w:t>
      </w:r>
      <w:r>
        <w:rPr>
          <w:rFonts w:hint="eastAsia"/>
        </w:rPr>
        <w:t>~</w:t>
      </w:r>
      <w:r>
        <w:t>1</w:t>
      </w:r>
      <w:r>
        <w:rPr>
          <w:rFonts w:hint="eastAsia"/>
        </w:rPr>
        <w:t>0</w:t>
      </w:r>
      <w:r>
        <w:t>0</w:t>
      </w:r>
      <w:r>
        <w:rPr>
          <w:rFonts w:ascii="Cambria Math" w:hAnsi="Cambria Math" w:cs="Cambria Math"/>
        </w:rPr>
        <w:t>℃</w:t>
      </w:r>
      <w:r>
        <w:t>，精度≤</w:t>
      </w:r>
      <w:r>
        <w:rPr>
          <w:rStyle w:val="17"/>
          <w:rFonts w:hint="eastAsia"/>
          <w:bCs w:val="0"/>
        </w:rPr>
        <w:t>±1℃</w:t>
      </w:r>
      <w:r>
        <w:t>）</w:t>
      </w:r>
      <w:r>
        <w:rPr>
          <w:rFonts w:hint="eastAsia"/>
        </w:rPr>
        <w:t>。</w:t>
      </w:r>
    </w:p>
    <w:p w14:paraId="0F0F3FC1">
      <w:r>
        <w:rPr>
          <w:rFonts w:ascii="Times New Roman" w:hAnsi="Times New Roman" w:cs="Times New Roman"/>
          <w:b/>
        </w:rPr>
        <w:t>1.3.4</w:t>
      </w:r>
      <w:r>
        <w:rPr>
          <w:rFonts w:hint="eastAsia" w:ascii="Times New Roman" w:hAnsi="Times New Roman" w:cs="Times New Roman"/>
          <w:b/>
        </w:rPr>
        <w:t xml:space="preserve"> </w:t>
      </w:r>
      <w:r>
        <w:rPr>
          <w:b/>
        </w:rPr>
        <w:t>压力系统</w:t>
      </w:r>
      <w:r>
        <w:t>：</w:t>
      </w:r>
      <w:r>
        <w:rPr>
          <w:rFonts w:hint="eastAsia"/>
        </w:rPr>
        <w:t>基于前述的</w:t>
      </w:r>
      <w:r>
        <w:rPr>
          <w:b/>
        </w:rPr>
        <w:t>双容</w:t>
      </w:r>
      <w:r>
        <w:rPr>
          <w:rFonts w:hint="eastAsia"/>
          <w:b/>
        </w:rPr>
        <w:t>低压</w:t>
      </w:r>
      <w:r>
        <w:rPr>
          <w:b/>
        </w:rPr>
        <w:t>罐</w:t>
      </w:r>
      <w:r>
        <w:rPr>
          <w:rFonts w:hint="eastAsia"/>
          <w:b/>
        </w:rPr>
        <w:t>体</w:t>
      </w:r>
      <w:r>
        <w:t>结构，配置</w:t>
      </w:r>
      <w:r>
        <w:rPr>
          <w:b/>
        </w:rPr>
        <w:t>2台工业级压力</w:t>
      </w:r>
      <w:r>
        <w:rPr>
          <w:rFonts w:hint="eastAsia"/>
          <w:b/>
        </w:rPr>
        <w:t>计及其</w:t>
      </w:r>
      <w:r>
        <w:rPr>
          <w:b/>
        </w:rPr>
        <w:t>变送器</w:t>
      </w:r>
      <w:r>
        <w:t>（量程</w:t>
      </w:r>
      <w:r>
        <w:rPr>
          <w:rFonts w:hint="eastAsia"/>
        </w:rPr>
        <w:t>上限不超过20K</w:t>
      </w:r>
      <w:r>
        <w:t>Pa，精度≤</w:t>
      </w:r>
      <w:r>
        <w:rPr>
          <w:rStyle w:val="17"/>
          <w:rFonts w:hint="eastAsia"/>
          <w:bCs w:val="0"/>
        </w:rPr>
        <w:t>±</w:t>
      </w:r>
      <w:r>
        <w:rPr>
          <w:rFonts w:hint="eastAsia"/>
        </w:rPr>
        <w:t>1</w:t>
      </w:r>
      <w:r>
        <w:t>%）</w:t>
      </w:r>
      <w:r>
        <w:rPr>
          <w:rFonts w:hint="eastAsia"/>
        </w:rPr>
        <w:t>。</w:t>
      </w:r>
    </w:p>
    <w:p w14:paraId="570D7FE4">
      <w:r>
        <w:rPr>
          <w:rFonts w:ascii="Times New Roman" w:hAnsi="Times New Roman" w:cs="Times New Roman"/>
          <w:b/>
        </w:rPr>
        <w:t>1.3.5</w:t>
      </w:r>
      <w:r>
        <w:rPr>
          <w:rFonts w:hint="eastAsia" w:ascii="Times New Roman" w:hAnsi="Times New Roman" w:cs="Times New Roman"/>
          <w:b/>
        </w:rPr>
        <w:t xml:space="preserve"> </w:t>
      </w:r>
      <w:r>
        <w:t>配套</w:t>
      </w:r>
      <w:r>
        <w:rPr>
          <w:rFonts w:hint="eastAsia"/>
          <w:b/>
        </w:rPr>
        <w:t>电动</w:t>
      </w:r>
      <w:r>
        <w:rPr>
          <w:b/>
        </w:rPr>
        <w:t>调节机构</w:t>
      </w:r>
      <w:r>
        <w:rPr>
          <w:rFonts w:hint="eastAsia"/>
          <w:b/>
        </w:rPr>
        <w:t>及水泵、低压气泵</w:t>
      </w:r>
      <w:r>
        <w:rPr>
          <w:rFonts w:hint="eastAsia"/>
        </w:rPr>
        <w:t>：配置2路基于水路的</w:t>
      </w:r>
      <w:r>
        <w:rPr>
          <w:rFonts w:hint="eastAsia"/>
          <w:b/>
        </w:rPr>
        <w:t>电动</w:t>
      </w:r>
      <w:r>
        <w:rPr>
          <w:b/>
        </w:rPr>
        <w:t>调节阀</w:t>
      </w:r>
      <w:r>
        <w:rPr>
          <w:rStyle w:val="17"/>
          <w:rFonts w:hint="eastAsia"/>
          <w:bCs w:val="0"/>
        </w:rPr>
        <w:t>（精度</w:t>
      </w:r>
      <w:r>
        <w:t>≤</w:t>
      </w:r>
      <w:r>
        <w:rPr>
          <w:rStyle w:val="17"/>
          <w:rFonts w:hint="eastAsia"/>
          <w:bCs w:val="0"/>
        </w:rPr>
        <w:t>±0.5%）</w:t>
      </w:r>
      <w:r>
        <w:t>及</w:t>
      </w:r>
      <w:r>
        <w:rPr>
          <w:rFonts w:hint="eastAsia"/>
        </w:rPr>
        <w:t>2路</w:t>
      </w:r>
      <w:r>
        <w:rPr>
          <w:b/>
        </w:rPr>
        <w:t>水泵</w:t>
      </w:r>
      <w:r>
        <w:t>（主、副回路各一）</w:t>
      </w:r>
      <w:r>
        <w:rPr>
          <w:rFonts w:hint="eastAsia"/>
        </w:rPr>
        <w:t>，配备1路基于气路的</w:t>
      </w:r>
      <w:r>
        <w:rPr>
          <w:rFonts w:hint="eastAsia"/>
          <w:b/>
        </w:rPr>
        <w:t>电动调节阀</w:t>
      </w:r>
      <w:r>
        <w:rPr>
          <w:rFonts w:hint="eastAsia"/>
        </w:rPr>
        <w:t>和1套</w:t>
      </w:r>
      <w:r>
        <w:rPr>
          <w:rFonts w:hint="eastAsia"/>
          <w:b/>
        </w:rPr>
        <w:t>低压气泵</w:t>
      </w:r>
      <w:r>
        <w:rPr>
          <w:rFonts w:hint="eastAsia"/>
        </w:rPr>
        <w:t>。水泵的扬程须与流量、液位的量程</w:t>
      </w:r>
      <w:r>
        <w:t>相匹配，确保在实验主要区间内有良好的线性度和控制效果</w:t>
      </w:r>
      <w:r>
        <w:rPr>
          <w:rFonts w:hint="eastAsia"/>
        </w:rPr>
        <w:t>。</w:t>
      </w:r>
    </w:p>
    <w:p w14:paraId="3BF0312F">
      <w:r>
        <w:rPr>
          <w:rFonts w:ascii="Times New Roman" w:hAnsi="Times New Roman" w:cs="Times New Roman"/>
          <w:b/>
        </w:rPr>
        <w:t>1.3.6</w:t>
      </w:r>
      <w:r>
        <w:rPr>
          <w:rFonts w:hint="eastAsia" w:ascii="微软雅黑" w:hAnsi="微软雅黑" w:eastAsia="微软雅黑" w:cs="微软雅黑"/>
        </w:rPr>
        <w:t xml:space="preserve"> </w:t>
      </w:r>
      <w:r>
        <w:rPr>
          <w:b/>
        </w:rPr>
        <w:t>控制仪表</w:t>
      </w:r>
      <w:r>
        <w:t>：</w:t>
      </w:r>
      <w:r>
        <w:rPr>
          <w:b/>
        </w:rPr>
        <w:t>1</w:t>
      </w:r>
      <w:r>
        <w:rPr>
          <w:rFonts w:hint="eastAsia"/>
          <w:b/>
        </w:rPr>
        <w:t>0</w:t>
      </w:r>
      <w:r>
        <w:rPr>
          <w:b/>
        </w:rPr>
        <w:t>套高级过程控制仪表</w:t>
      </w:r>
      <w:r>
        <w:t>，每套具备</w:t>
      </w:r>
      <w:r>
        <w:rPr>
          <w:b/>
        </w:rPr>
        <w:t>≥4路AI、≥2路AO</w:t>
      </w:r>
      <w:r>
        <w:t>，内置PID控制、</w:t>
      </w:r>
      <w:r>
        <w:rPr>
          <w:rFonts w:hint="eastAsia"/>
        </w:rPr>
        <w:t>实时曲线显示、</w:t>
      </w:r>
      <w:r>
        <w:t>参数自整定功能，支持Modbus</w:t>
      </w:r>
      <w:r>
        <w:rPr>
          <w:rFonts w:hint="eastAsia"/>
        </w:rPr>
        <w:t>等</w:t>
      </w:r>
      <w:r>
        <w:t>标准通信协议</w:t>
      </w:r>
      <w:r>
        <w:rPr>
          <w:rFonts w:hint="eastAsia"/>
        </w:rPr>
        <w:t>。</w:t>
      </w:r>
    </w:p>
    <w:p w14:paraId="089BAC5F">
      <w:r>
        <w:t>1.4 安装与接口布置</w:t>
      </w:r>
    </w:p>
    <w:p w14:paraId="57307940">
      <w:r>
        <w:rPr>
          <w:b/>
        </w:rPr>
        <w:t>每个工位</w:t>
      </w:r>
      <w:r>
        <w:t>的电气与控制设备须集成安装，面板布局清晰，包含且不限于以下部分：</w:t>
      </w:r>
    </w:p>
    <w:p w14:paraId="79A863B0">
      <w:r>
        <w:rPr>
          <w:rFonts w:ascii="Times New Roman" w:hAnsi="Times New Roman" w:cs="Times New Roman"/>
          <w:b/>
        </w:rPr>
        <w:t>1.4.1</w:t>
      </w:r>
      <w:r>
        <w:rPr>
          <w:rFonts w:hint="eastAsia" w:ascii="Times New Roman" w:hAnsi="Times New Roman" w:cs="Times New Roman"/>
          <w:b/>
        </w:rPr>
        <w:t xml:space="preserve"> </w:t>
      </w:r>
      <w:r>
        <w:rPr>
          <w:b/>
        </w:rPr>
        <w:t>控制设备区</w:t>
      </w:r>
      <w:r>
        <w:t>：工控一体机、交换机、总电源开关、PLC、空开、启动/停止按钮。</w:t>
      </w:r>
    </w:p>
    <w:p w14:paraId="4C05562A">
      <w:r>
        <w:rPr>
          <w:rFonts w:ascii="Times New Roman" w:hAnsi="Times New Roman" w:cs="Times New Roman"/>
          <w:b/>
        </w:rPr>
        <w:t>1.4.2</w:t>
      </w:r>
      <w:r>
        <w:rPr>
          <w:rFonts w:hint="eastAsia" w:ascii="Times New Roman" w:hAnsi="Times New Roman" w:cs="Times New Roman"/>
          <w:b/>
        </w:rPr>
        <w:t xml:space="preserve"> </w:t>
      </w:r>
      <w:r>
        <w:rPr>
          <w:b/>
        </w:rPr>
        <w:t>专用开关区</w:t>
      </w:r>
      <w:r>
        <w:t>：主/副回路泵开关、主/副调节阀开关、仪表电源开关、电加热开关、检测设备开关、干烧报警指示灯。</w:t>
      </w:r>
    </w:p>
    <w:p w14:paraId="03C77396">
      <w:r>
        <w:rPr>
          <w:rFonts w:ascii="Times New Roman" w:hAnsi="Times New Roman" w:cs="Times New Roman"/>
          <w:b/>
        </w:rPr>
        <w:t>1.4.3</w:t>
      </w:r>
      <w:r>
        <w:rPr>
          <w:rFonts w:hint="eastAsia" w:ascii="Times New Roman" w:hAnsi="Times New Roman" w:cs="Times New Roman"/>
          <w:b/>
        </w:rPr>
        <w:t xml:space="preserve"> </w:t>
      </w:r>
      <w:r>
        <w:rPr>
          <w:b/>
        </w:rPr>
        <w:t>功能切换区</w:t>
      </w:r>
      <w:r>
        <w:t>：远程/本地转换开关。</w:t>
      </w:r>
    </w:p>
    <w:p w14:paraId="15A9EB4E">
      <w:r>
        <w:rPr>
          <w:rFonts w:ascii="Times New Roman" w:hAnsi="Times New Roman" w:cs="Times New Roman"/>
          <w:b/>
        </w:rPr>
        <w:t>1.4.4</w:t>
      </w:r>
      <w:r>
        <w:rPr>
          <w:rFonts w:hint="eastAsia" w:ascii="Times New Roman" w:hAnsi="Times New Roman" w:cs="Times New Roman"/>
          <w:b/>
        </w:rPr>
        <w:t xml:space="preserve"> </w:t>
      </w:r>
      <w:r>
        <w:t>接口</w:t>
      </w:r>
      <w:r>
        <w:rPr>
          <w:rFonts w:hint="eastAsia"/>
        </w:rPr>
        <w:t>面板</w:t>
      </w:r>
      <w:r>
        <w:t>区：</w:t>
      </w:r>
    </w:p>
    <w:p w14:paraId="32B4D073">
      <w:r>
        <w:rPr>
          <w:rFonts w:hint="eastAsia"/>
          <w:b/>
        </w:rPr>
        <w:t xml:space="preserve">① </w:t>
      </w:r>
      <w:r>
        <w:rPr>
          <w:b/>
        </w:rPr>
        <w:t>PLC快速接口</w:t>
      </w:r>
      <w:r>
        <w:t>：≥36个，用于连接各类I/O信号。</w:t>
      </w:r>
    </w:p>
    <w:p w14:paraId="5DAD9FB2">
      <w:r>
        <w:rPr>
          <w:rFonts w:hint="eastAsia"/>
          <w:b/>
        </w:rPr>
        <w:t xml:space="preserve">② </w:t>
      </w:r>
      <w:r>
        <w:rPr>
          <w:b/>
        </w:rPr>
        <w:t>仪表快速接口</w:t>
      </w:r>
      <w:r>
        <w:t>：≥24个，用于仪表通信与调试。</w:t>
      </w:r>
    </w:p>
    <w:p w14:paraId="68D45A49">
      <w:r>
        <w:rPr>
          <w:rFonts w:hint="eastAsia"/>
          <w:b/>
        </w:rPr>
        <w:t xml:space="preserve">③ </w:t>
      </w:r>
      <w:r>
        <w:rPr>
          <w:b/>
        </w:rPr>
        <w:t>测试端接口</w:t>
      </w:r>
      <w:r>
        <w:t>：≥20个，用于测量与故障诊断。</w:t>
      </w:r>
    </w:p>
    <w:p w14:paraId="35988E91">
      <w:r>
        <w:t>2. 控制系统</w:t>
      </w:r>
    </w:p>
    <w:p w14:paraId="38A227AB">
      <w:r>
        <w:rPr>
          <w:rFonts w:ascii="Times New Roman" w:hAnsi="Times New Roman" w:cs="Times New Roman"/>
          <w:b/>
        </w:rPr>
        <w:t>2.1</w:t>
      </w:r>
      <w:r>
        <w:rPr>
          <w:rFonts w:hint="eastAsia" w:ascii="微软雅黑" w:hAnsi="微软雅黑" w:eastAsia="微软雅黑" w:cs="微软雅黑"/>
        </w:rPr>
        <w:t xml:space="preserve"> </w:t>
      </w:r>
      <w:r>
        <w:rPr>
          <w:b/>
        </w:rPr>
        <w:t>核心控制器</w:t>
      </w:r>
      <w:r>
        <w:t>：</w:t>
      </w:r>
      <w:r>
        <w:rPr>
          <w:b/>
        </w:rPr>
        <w:t>≥</w:t>
      </w:r>
      <w:r>
        <w:rPr>
          <w:rFonts w:hint="eastAsia"/>
          <w:b/>
        </w:rPr>
        <w:t>1套</w:t>
      </w:r>
      <w:r>
        <w:rPr>
          <w:rFonts w:hint="eastAsia"/>
        </w:rPr>
        <w:t>，用于系统级数据汇聚与协调控制，其规格须满足：采用工业级可编程控制器（PLC）</w:t>
      </w:r>
      <w:r>
        <w:t>，</w:t>
      </w:r>
      <w:r>
        <w:rPr>
          <w:shd w:val="clear" w:color="auto" w:fill="auto"/>
        </w:rPr>
        <w:t>数字量I/O≥</w:t>
      </w:r>
      <w:r>
        <w:rPr>
          <w:rFonts w:hint="eastAsia"/>
          <w:shd w:val="clear" w:color="auto" w:fill="auto"/>
        </w:rPr>
        <w:t>96</w:t>
      </w:r>
      <w:r>
        <w:rPr>
          <w:shd w:val="clear" w:color="auto" w:fill="auto"/>
        </w:rPr>
        <w:t>点，模拟量I/O≥</w:t>
      </w:r>
      <w:r>
        <w:rPr>
          <w:rFonts w:hint="eastAsia"/>
          <w:shd w:val="clear" w:color="auto" w:fill="auto"/>
        </w:rPr>
        <w:t>72</w:t>
      </w:r>
      <w:r>
        <w:rPr>
          <w:shd w:val="clear" w:color="auto" w:fill="auto"/>
        </w:rPr>
        <w:t>点，</w:t>
      </w:r>
      <w:r>
        <w:rPr>
          <w:rFonts w:hint="eastAsia"/>
          <w:shd w:val="clear" w:color="auto" w:fill="auto"/>
        </w:rPr>
        <w:t>PTO</w:t>
      </w:r>
      <w:r>
        <w:rPr>
          <w:shd w:val="clear" w:color="auto" w:fill="auto"/>
        </w:rPr>
        <w:t>≥</w:t>
      </w:r>
      <w:r>
        <w:rPr>
          <w:rFonts w:hint="eastAsia"/>
          <w:shd w:val="clear" w:color="auto" w:fill="auto"/>
        </w:rPr>
        <w:t>8，Position</w:t>
      </w:r>
      <w:r>
        <w:rPr>
          <w:shd w:val="clear" w:color="auto" w:fill="auto"/>
        </w:rPr>
        <w:t>≥</w:t>
      </w:r>
      <w:r>
        <w:rPr>
          <w:rFonts w:hint="eastAsia"/>
          <w:shd w:val="clear" w:color="auto" w:fill="auto"/>
        </w:rPr>
        <w:t>2，高速计数器通道</w:t>
      </w:r>
      <w:r>
        <w:rPr>
          <w:shd w:val="clear" w:color="auto" w:fill="auto"/>
        </w:rPr>
        <w:t>≥</w:t>
      </w:r>
      <w:r>
        <w:rPr>
          <w:rFonts w:hint="eastAsia"/>
          <w:shd w:val="clear" w:color="auto" w:fill="auto"/>
        </w:rPr>
        <w:t>3，485通信接口</w:t>
      </w:r>
      <w:r>
        <w:rPr>
          <w:shd w:val="clear" w:color="auto" w:fill="auto"/>
        </w:rPr>
        <w:t>≥</w:t>
      </w:r>
      <w:r>
        <w:rPr>
          <w:rFonts w:hint="eastAsia"/>
          <w:shd w:val="clear" w:color="auto" w:fill="auto"/>
        </w:rPr>
        <w:t>1，通道</w:t>
      </w:r>
      <w:r>
        <w:rPr>
          <w:b/>
        </w:rPr>
        <w:t>满足现有系统集成要求</w:t>
      </w:r>
      <w:r>
        <w:rPr>
          <w:rFonts w:hint="eastAsia"/>
          <w:b/>
        </w:rPr>
        <w:t>。</w:t>
      </w:r>
      <w:r>
        <w:rPr>
          <w:rFonts w:ascii="Arial" w:hAnsi="Arial" w:cs="Arial"/>
          <w:shd w:val="clear" w:color="auto" w:fill="auto"/>
        </w:rPr>
        <w:t>通信</w:t>
      </w:r>
      <w:r>
        <w:rPr>
          <w:shd w:val="clear" w:color="auto" w:fill="auto"/>
        </w:rPr>
        <w:t>支持PROFINET</w:t>
      </w:r>
      <w:r>
        <w:rPr>
          <w:rFonts w:hint="eastAsia"/>
          <w:shd w:val="clear" w:color="auto" w:fill="auto"/>
        </w:rPr>
        <w:t>等协议。</w:t>
      </w:r>
    </w:p>
    <w:p w14:paraId="3FD8A08A">
      <w:r>
        <w:rPr>
          <w:rFonts w:ascii="Times New Roman" w:hAnsi="Times New Roman" w:cs="Times New Roman"/>
          <w:b/>
        </w:rPr>
        <w:t>2.2</w:t>
      </w:r>
      <w:r>
        <w:rPr>
          <w:rFonts w:hint="eastAsia" w:ascii="Times New Roman" w:hAnsi="Times New Roman" w:cs="Times New Roman"/>
          <w:b/>
        </w:rPr>
        <w:t xml:space="preserve"> </w:t>
      </w:r>
      <w:r>
        <w:rPr>
          <w:rFonts w:hint="eastAsia"/>
          <w:b/>
        </w:rPr>
        <w:t>工位</w:t>
      </w:r>
      <w:r>
        <w:rPr>
          <w:b/>
        </w:rPr>
        <w:t>控制器</w:t>
      </w:r>
      <w:r>
        <w:t>：</w:t>
      </w:r>
      <w:r>
        <w:rPr>
          <w:b/>
        </w:rPr>
        <w:t>≥</w:t>
      </w:r>
      <w:r>
        <w:rPr>
          <w:rFonts w:hint="eastAsia"/>
          <w:b/>
        </w:rPr>
        <w:t>10</w:t>
      </w:r>
      <w:r>
        <w:rPr>
          <w:b/>
        </w:rPr>
        <w:t>套</w:t>
      </w:r>
      <w:r>
        <w:rPr>
          <w:rFonts w:hint="eastAsia"/>
        </w:rPr>
        <w:t>，与</w:t>
      </w:r>
      <w:r>
        <w:t>物理工位</w:t>
      </w:r>
      <w:r>
        <w:rPr>
          <w:rFonts w:hint="eastAsia"/>
        </w:rPr>
        <w:t>一一对应</w:t>
      </w:r>
      <w:r>
        <w:t>，其规格须满足：工业级可编程控制器（PLC）</w:t>
      </w:r>
      <w:r>
        <w:rPr>
          <w:rFonts w:hint="eastAsia"/>
        </w:rPr>
        <w:t>，数字量I/O≥8点，模拟量AI≥8点，模拟量AO≥2点，满足本工位控制需求。</w:t>
      </w:r>
      <w:r>
        <w:rPr>
          <w:rFonts w:ascii="Arial" w:hAnsi="Arial" w:cs="Arial"/>
          <w:shd w:val="clear" w:color="auto" w:fill="auto"/>
        </w:rPr>
        <w:t>通信</w:t>
      </w:r>
      <w:r>
        <w:rPr>
          <w:shd w:val="clear" w:color="auto" w:fill="auto"/>
        </w:rPr>
        <w:t>支持PROFINET</w:t>
      </w:r>
      <w:r>
        <w:rPr>
          <w:rFonts w:hint="eastAsia"/>
          <w:shd w:val="clear" w:color="auto" w:fill="auto"/>
        </w:rPr>
        <w:t>等协议。</w:t>
      </w:r>
    </w:p>
    <w:p w14:paraId="7493AAAB">
      <w:r>
        <w:rPr>
          <w:rFonts w:ascii="Times New Roman" w:hAnsi="Times New Roman" w:cs="Times New Roman"/>
        </w:rPr>
        <w:t>2.3</w:t>
      </w:r>
      <w:r>
        <w:rPr>
          <w:rFonts w:hint="eastAsia" w:ascii="Times New Roman" w:hAnsi="Times New Roman" w:cs="Times New Roman"/>
        </w:rPr>
        <w:t xml:space="preserve"> </w:t>
      </w:r>
      <w:r>
        <w:t>控制架构：基于反应罐、反应釜、回转窑等工艺段的分布式控制系统</w:t>
      </w:r>
    </w:p>
    <w:p w14:paraId="60074879">
      <w:pPr>
        <w:rPr>
          <w:shd w:val="clear" w:color="auto" w:fill="auto"/>
        </w:rPr>
      </w:pPr>
      <w:r>
        <w:rPr>
          <w:rFonts w:ascii="Times New Roman" w:hAnsi="Times New Roman" w:cs="Times New Roman"/>
          <w:b/>
        </w:rPr>
        <w:t>2.4</w:t>
      </w:r>
      <w:r>
        <w:rPr>
          <w:rFonts w:hint="eastAsia" w:ascii="Times New Roman" w:hAnsi="Times New Roman" w:cs="Times New Roman"/>
          <w:b/>
        </w:rPr>
        <w:t xml:space="preserve"> </w:t>
      </w:r>
      <w:r>
        <w:rPr>
          <w:shd w:val="clear" w:color="auto" w:fill="auto"/>
        </w:rPr>
        <w:t>数据采集规模：控制系统（PLC、智能仪表等）的I/O配置及数据采集能力，须完整覆盖所有物理对象的监控需求，为数字孪生、AI算法分析及二次开发预留充足的、可扩展的数据接口与容量。</w:t>
      </w:r>
    </w:p>
    <w:p w14:paraId="0D461282">
      <w:r>
        <w:t>3. 网络系统</w:t>
      </w:r>
    </w:p>
    <w:p w14:paraId="5440BD0C">
      <w:r>
        <w:rPr>
          <w:rFonts w:ascii="Times New Roman" w:hAnsi="Times New Roman" w:cs="Times New Roman"/>
          <w:b/>
        </w:rPr>
        <w:t>3.1</w:t>
      </w:r>
      <w:r>
        <w:rPr>
          <w:rFonts w:hint="eastAsia" w:ascii="Times New Roman" w:hAnsi="Times New Roman" w:cs="Times New Roman"/>
          <w:b/>
        </w:rPr>
        <w:t xml:space="preserve"> </w:t>
      </w:r>
      <w:r>
        <w:rPr>
          <w:b/>
        </w:rPr>
        <w:t>骨干网络</w:t>
      </w:r>
      <w:r>
        <w:t>：配置工业级</w:t>
      </w:r>
      <w:r>
        <w:rPr>
          <w:rFonts w:hint="eastAsia"/>
        </w:rPr>
        <w:t>路由器、</w:t>
      </w:r>
      <w:r>
        <w:t>交换机，确保数据传输的稳定与实时性。</w:t>
      </w:r>
    </w:p>
    <w:p w14:paraId="52A15B90">
      <w:r>
        <w:rPr>
          <w:rFonts w:ascii="Times New Roman" w:hAnsi="Times New Roman" w:cs="Times New Roman"/>
          <w:b/>
        </w:rPr>
        <w:t>3.2</w:t>
      </w:r>
      <w:r>
        <w:rPr>
          <w:rFonts w:hint="eastAsia" w:ascii="Times New Roman" w:hAnsi="Times New Roman" w:cs="Times New Roman"/>
          <w:b/>
        </w:rPr>
        <w:t xml:space="preserve"> </w:t>
      </w:r>
      <w:r>
        <w:rPr>
          <w:b/>
        </w:rPr>
        <w:t>无线接入</w:t>
      </w:r>
      <w:r>
        <w:t>：配置</w:t>
      </w:r>
      <w:r>
        <w:rPr>
          <w:b/>
        </w:rPr>
        <w:t>Wi-Fi 6工业无线网关</w:t>
      </w:r>
      <w:r>
        <w:rPr>
          <w:rFonts w:hint="eastAsia"/>
        </w:rPr>
        <w:t>，支持移动终端和灵活部署设备的接入。</w:t>
      </w:r>
    </w:p>
    <w:p w14:paraId="134273DD">
      <w:r>
        <w:rPr>
          <w:rFonts w:hint="eastAsia"/>
        </w:rPr>
        <w:t>4</w:t>
      </w:r>
      <w:r>
        <w:t>. 软件与数字孪生平台</w:t>
      </w:r>
    </w:p>
    <w:p w14:paraId="7763A2E0">
      <w:r>
        <w:rPr>
          <w:rFonts w:hint="eastAsia"/>
        </w:rPr>
        <w:t>SCADA监控系统、数字孪生系统、工业AI模型库等软件部署、调试、演示，应在采购人指定的通用设备上进行，中标人须负责完成所有软件在该环境下的安装、配置与优化，确保满足如下要求：</w:t>
      </w:r>
    </w:p>
    <w:p w14:paraId="446C510E">
      <w:r>
        <w:rPr>
          <w:rFonts w:ascii="Times New Roman" w:hAnsi="Times New Roman" w:cs="Times New Roman"/>
          <w:b/>
        </w:rPr>
        <w:t>4.1</w:t>
      </w:r>
      <w:r>
        <w:rPr>
          <w:rFonts w:hint="eastAsia" w:ascii="微软雅黑" w:hAnsi="微软雅黑" w:eastAsia="微软雅黑" w:cs="微软雅黑"/>
        </w:rPr>
        <w:t xml:space="preserve"> </w:t>
      </w:r>
      <w:r>
        <w:rPr>
          <w:rFonts w:hint="eastAsia"/>
          <w:b/>
        </w:rPr>
        <w:t>SCADA监控系统</w:t>
      </w:r>
      <w:r>
        <w:rPr>
          <w:rFonts w:hint="eastAsia"/>
        </w:rPr>
        <w:t>：</w:t>
      </w:r>
      <w:r>
        <w:rPr>
          <w:shd w:val="clear" w:color="auto" w:fill="auto"/>
        </w:rPr>
        <w:t>配置</w:t>
      </w:r>
      <w:r>
        <w:rPr>
          <w:rFonts w:hint="eastAsia"/>
        </w:rPr>
        <w:t>企业级SCADA平台，具有永久使用权，授权点数 ≥8192点，实时数据点容量 ≥8192点，数据刷新周期 ≤1秒，报警响应时间 ≤200毫秒。</w:t>
      </w:r>
      <w:r>
        <w:rPr>
          <w:shd w:val="clear" w:color="auto" w:fill="auto"/>
        </w:rPr>
        <w:t>满足全系统所有设备、工艺参数、系统状态及高级应用数据（如数字孪生、AI模型变量）的采集、长期存储与快速查询需求，为上层应用提供坚实的数据底座。提供不低于5年的技术支持与服务。</w:t>
      </w:r>
    </w:p>
    <w:p w14:paraId="6B1B56D0">
      <w:r>
        <w:rPr>
          <w:rFonts w:ascii="Times New Roman" w:hAnsi="Times New Roman" w:cs="Times New Roman"/>
        </w:rPr>
        <w:t>4.2</w:t>
      </w:r>
      <w:r>
        <w:rPr>
          <w:rFonts w:hint="eastAsia" w:ascii="Times New Roman" w:hAnsi="Times New Roman" w:cs="Times New Roman"/>
        </w:rPr>
        <w:t xml:space="preserve"> </w:t>
      </w:r>
      <w:r>
        <w:rPr>
          <w:rFonts w:hint="eastAsia"/>
        </w:rPr>
        <w:t>数字孪生系统：</w:t>
      </w:r>
    </w:p>
    <w:p w14:paraId="0A6E4C4C">
      <w:pPr>
        <w:rPr>
          <w:b/>
        </w:rPr>
      </w:pPr>
      <w:r>
        <w:rPr>
          <w:rFonts w:hint="eastAsia"/>
        </w:rPr>
        <w:t>4.2.1 对液位、流量、温度、压力等被控变量建立</w:t>
      </w:r>
      <w:r>
        <w:rPr>
          <w:rFonts w:hint="eastAsia"/>
          <w:b/>
        </w:rPr>
        <w:t>高保真三维虚拟模型</w:t>
      </w:r>
      <w:r>
        <w:rPr>
          <w:rFonts w:hint="eastAsia"/>
        </w:rPr>
        <w:t>，动态展示液面升降、流体流动、热辐射效应、压力指针摆动等物理变化过程，集成石蜡物态变化（熔融与凝固）特效。对反应釜与回转窑提供完整的、可交互的</w:t>
      </w:r>
      <w:r>
        <w:rPr>
          <w:rFonts w:hint="eastAsia"/>
          <w:b/>
        </w:rPr>
        <w:t>三维虚拟模型界面</w:t>
      </w:r>
      <w:r>
        <w:rPr>
          <w:rFonts w:hint="eastAsia"/>
        </w:rPr>
        <w:t>，覆盖反应釜的搅拌动作、回转窑的旋转与物料传送等实时运行状态。提供开放的</w:t>
      </w:r>
      <w:r>
        <w:rPr>
          <w:rFonts w:hint="eastAsia"/>
          <w:b/>
        </w:rPr>
        <w:t>机理模型接口</w:t>
      </w:r>
      <w:r>
        <w:rPr>
          <w:rFonts w:hint="eastAsia"/>
        </w:rPr>
        <w:t>及</w:t>
      </w:r>
      <w:r>
        <w:rPr>
          <w:rFonts w:hint="eastAsia"/>
          <w:b/>
        </w:rPr>
        <w:t>接口调用示例</w:t>
      </w:r>
      <w:r>
        <w:rPr>
          <w:rFonts w:hint="eastAsia"/>
        </w:rPr>
        <w:t>，为驱动前述三维虚拟模型运动的物理机理模型预留标准化的编程接口，支持在不改变三维外观的情况下，研究不同控制算法或工艺参数对系统动态特性的影响。</w:t>
      </w:r>
    </w:p>
    <w:p w14:paraId="0AE91D74">
      <w:bookmarkStart w:id="4" w:name="_GoBack"/>
      <w:bookmarkEnd w:id="4"/>
      <w:bookmarkStart w:id="1" w:name="OLE_LINK9"/>
      <w:r>
        <w:rPr>
          <w:rFonts w:hint="eastAsia" w:ascii="微软雅黑" w:hAnsi="微软雅黑" w:eastAsia="微软雅黑" w:cs="微软雅黑"/>
        </w:rPr>
        <w:t xml:space="preserve">4.2.2 </w:t>
      </w:r>
      <w:r>
        <w:rPr>
          <w:rFonts w:hint="eastAsia"/>
        </w:rPr>
        <w:t>交付一套完整的、基于实时三维渲染引擎开发的</w:t>
      </w:r>
      <w:r>
        <w:rPr>
          <w:rFonts w:hint="eastAsia"/>
          <w:b/>
        </w:rPr>
        <w:t>“双容水箱过程控制数字孪生教学演示系统”</w:t>
      </w:r>
      <w:r>
        <w:rPr>
          <w:rFonts w:hint="eastAsia"/>
        </w:rPr>
        <w:t>，包括全部三维模型文件、场景文件、仿真脚本及控制逻辑源代码，代码结构清晰，关键部分须有中文注释，用于课堂教学与学生实操；</w:t>
      </w:r>
      <w:r>
        <w:t>通过虚拟机/容器</w:t>
      </w:r>
      <w:r>
        <w:rPr>
          <w:rFonts w:hint="eastAsia"/>
        </w:rPr>
        <w:t>同时启动2个该教学演示系统实例，每个实例在1080P分辨率下的平均帧率均不低于</w:t>
      </w:r>
      <w:r>
        <w:rPr>
          <w:rFonts w:hint="eastAsia"/>
          <w:b/>
        </w:rPr>
        <w:t>30 FPS</w:t>
      </w:r>
      <w:r>
        <w:rPr>
          <w:rFonts w:hint="eastAsia"/>
        </w:rPr>
        <w:t>，满足多组学生并行实验的教学效率需求。</w:t>
      </w:r>
      <w:bookmarkEnd w:id="1"/>
    </w:p>
    <w:p w14:paraId="4471BAA7">
      <w:r>
        <w:rPr>
          <w:rFonts w:ascii="Times New Roman" w:hAnsi="Times New Roman" w:cs="Times New Roman"/>
          <w:b/>
        </w:rPr>
        <w:t>4.</w:t>
      </w:r>
      <w:r>
        <w:rPr>
          <w:rFonts w:hint="eastAsia" w:ascii="Times New Roman" w:hAnsi="Times New Roman" w:cs="Times New Roman"/>
          <w:b/>
        </w:rPr>
        <w:t xml:space="preserve">3 </w:t>
      </w:r>
      <w:r>
        <w:rPr>
          <w:rStyle w:val="17"/>
        </w:rPr>
        <w:t>工业AI模型库</w:t>
      </w:r>
      <w:r>
        <w:rPr>
          <w:rStyle w:val="17"/>
          <w:bCs w:val="0"/>
        </w:rPr>
        <w:t>：</w:t>
      </w:r>
      <w:r>
        <w:rPr>
          <w:rStyle w:val="17"/>
          <w:rFonts w:ascii="宋体" w:hAnsi="宋体" w:eastAsia="宋体"/>
          <w:b w:val="0"/>
        </w:rPr>
        <w:t>预置PyTorch、TensorFlow框架，提供基于CNN、LSTM、Transformer的示例模型及源代码</w:t>
      </w:r>
      <w:r>
        <w:rPr>
          <w:rStyle w:val="17"/>
          <w:rFonts w:hint="eastAsia" w:ascii="宋体" w:hAnsi="宋体" w:eastAsia="宋体"/>
          <w:b w:val="0"/>
        </w:rPr>
        <w:t>，示例模型能完成训练与推理任务</w:t>
      </w:r>
      <w:r>
        <w:rPr>
          <w:rStyle w:val="17"/>
          <w:rFonts w:ascii="宋体" w:hAnsi="宋体" w:eastAsia="宋体"/>
          <w:b w:val="0"/>
        </w:rPr>
        <w:t>。</w:t>
      </w:r>
      <w:bookmarkStart w:id="2" w:name="_Hlk216286859"/>
      <w:r>
        <w:rPr>
          <w:rStyle w:val="17"/>
          <w:rFonts w:hint="eastAsia" w:ascii="宋体" w:hAnsi="宋体" w:eastAsia="宋体"/>
          <w:b w:val="0"/>
          <w:color w:val="000000" w:themeColor="text1"/>
          <w14:textFill>
            <w14:solidFill>
              <w14:schemeClr w14:val="tx1"/>
            </w14:solidFill>
          </w14:textFill>
        </w:rPr>
        <w:t>在招标方提供的基准数据集上，</w:t>
      </w:r>
      <w:r>
        <w:t>预置</w:t>
      </w:r>
      <w:r>
        <w:rPr>
          <w:rFonts w:hint="eastAsia"/>
        </w:rPr>
        <w:t>的</w:t>
      </w:r>
      <w:r>
        <w:t>LSTM示例模型完成一次完整训练周期（Epoch）</w:t>
      </w:r>
      <w:r>
        <w:rPr>
          <w:rFonts w:hint="eastAsia"/>
        </w:rPr>
        <w:t>的</w:t>
      </w:r>
      <w:r>
        <w:t>平均时间≤5分钟</w:t>
      </w:r>
      <w:r>
        <w:rPr>
          <w:rFonts w:hint="eastAsia"/>
        </w:rPr>
        <w:t>，以保证教学演示的流畅性；</w:t>
      </w:r>
      <w:r>
        <w:t>能同时</w:t>
      </w:r>
      <w:r>
        <w:rPr>
          <w:rFonts w:hint="eastAsia"/>
        </w:rPr>
        <w:t>加载并运行</w:t>
      </w:r>
      <w:r>
        <w:t>至少3</w:t>
      </w:r>
      <w:r>
        <w:rPr>
          <w:rFonts w:hint="eastAsia"/>
        </w:rPr>
        <w:t>类</w:t>
      </w:r>
      <w:r>
        <w:t>预训练AI模型</w:t>
      </w:r>
      <w:r>
        <w:rPr>
          <w:rFonts w:hint="eastAsia"/>
        </w:rPr>
        <w:t>，</w:t>
      </w:r>
      <w:r>
        <w:t>对数据流进行并发推理，每个模型平均单次推理耗时≤100毫秒</w:t>
      </w:r>
      <w:r>
        <w:rPr>
          <w:rFonts w:hint="eastAsia"/>
        </w:rPr>
        <w:t>，以确保平台软件具备高效的并发调度能力</w:t>
      </w:r>
      <w:r>
        <w:t>。</w:t>
      </w:r>
      <w:bookmarkEnd w:id="2"/>
    </w:p>
    <w:p w14:paraId="5A12779A">
      <w:pPr>
        <w:rPr>
          <w:b/>
          <w:bCs w:val="0"/>
        </w:rPr>
      </w:pPr>
      <w:r>
        <w:rPr>
          <w:rFonts w:hint="eastAsia"/>
          <w:b/>
          <w:bCs w:val="0"/>
        </w:rPr>
        <w:t>5</w:t>
      </w:r>
      <w:r>
        <w:rPr>
          <w:b/>
          <w:bCs w:val="0"/>
        </w:rPr>
        <w:t>. 开放接口</w:t>
      </w:r>
    </w:p>
    <w:p w14:paraId="11832E1B">
      <w:r>
        <w:rPr>
          <w:rFonts w:ascii="Times New Roman" w:hAnsi="Times New Roman" w:cs="Times New Roman"/>
          <w:b/>
        </w:rPr>
        <w:t>5.1</w:t>
      </w:r>
      <w:r>
        <w:rPr>
          <w:rFonts w:hint="eastAsia" w:ascii="Times New Roman" w:hAnsi="Times New Roman" w:cs="Times New Roman"/>
          <w:b/>
        </w:rPr>
        <w:t xml:space="preserve"> </w:t>
      </w:r>
      <w:r>
        <w:rPr>
          <w:b/>
        </w:rPr>
        <w:t>硬件接口</w:t>
      </w:r>
      <w:r>
        <w:t>：提供</w:t>
      </w:r>
      <w:r>
        <w:rPr>
          <w:b/>
        </w:rPr>
        <w:t>标准模拟量/数字量信号</w:t>
      </w:r>
      <w:r>
        <w:t>接入点；提供隔离的</w:t>
      </w:r>
      <w:r>
        <w:rPr>
          <w:b/>
        </w:rPr>
        <w:t>数字量/模拟量控制接口</w:t>
      </w:r>
      <w:r>
        <w:t>；预留Modbus</w:t>
      </w:r>
      <w:r>
        <w:rPr>
          <w:rFonts w:hint="eastAsia"/>
        </w:rPr>
        <w:t>等</w:t>
      </w:r>
      <w:r>
        <w:rPr>
          <w:b/>
        </w:rPr>
        <w:t>主流工业总线</w:t>
      </w:r>
      <w:r>
        <w:t>通信接口，支持学生自研硬件设备的接入与调试。</w:t>
      </w:r>
    </w:p>
    <w:p w14:paraId="708C8F82">
      <w:r>
        <w:rPr>
          <w:rFonts w:ascii="Times New Roman" w:hAnsi="Times New Roman" w:cs="Times New Roman"/>
          <w:b/>
        </w:rPr>
        <w:t>5.2</w:t>
      </w:r>
      <w:r>
        <w:rPr>
          <w:rFonts w:hint="eastAsia" w:ascii="Times New Roman" w:hAnsi="Times New Roman" w:cs="Times New Roman"/>
          <w:b/>
        </w:rPr>
        <w:t xml:space="preserve"> </w:t>
      </w:r>
      <w:r>
        <w:t>软件接口：提供≥20个RESTful API，支持主流编程语言调用，用于访问平台核心数据（如实时数据、历史数据、报警信息）与服务</w:t>
      </w:r>
      <w:r>
        <w:rPr>
          <w:rFonts w:hint="eastAsia"/>
        </w:rPr>
        <w:t>。API平台须为开源架构，支持自定义的接口扩展及</w:t>
      </w:r>
      <w:r>
        <w:t>应用开发。</w:t>
      </w:r>
    </w:p>
    <w:p w14:paraId="74D5DF4A">
      <w:pPr>
        <w:rPr>
          <w:rFonts w:hint="eastAsia"/>
        </w:rPr>
      </w:pPr>
    </w:p>
    <w:p w14:paraId="14E33F27"/>
    <w:p w14:paraId="5DDB2877"/>
    <w:p w14:paraId="5CB791F2">
      <w:pPr>
        <w:rPr>
          <w:rFonts w:hint="eastAsia"/>
        </w:rPr>
      </w:pPr>
    </w:p>
    <w:p w14:paraId="08DDAEEA">
      <w:pPr>
        <w:rPr>
          <w:rFonts w:hint="eastAsia"/>
        </w:rPr>
      </w:pPr>
      <w:r>
        <w:rPr>
          <w:rFonts w:hint="eastAsia"/>
        </w:rPr>
        <w:t>1.2 采购标的2: 工业互联网中央监控中心</w:t>
      </w:r>
    </w:p>
    <w:p w14:paraId="5B6A55ED">
      <w:bookmarkStart w:id="3" w:name="OLE_LINK2"/>
      <w:r>
        <w:rPr>
          <w:rFonts w:hint="eastAsia"/>
        </w:rPr>
        <w:t>一、</w:t>
      </w:r>
      <w:r>
        <w:t>中央监控中心</w:t>
      </w:r>
      <w:bookmarkEnd w:id="3"/>
    </w:p>
    <w:p w14:paraId="196F4DED">
      <w:pPr>
        <w:ind w:firstLine="420"/>
      </w:pPr>
      <w:r>
        <w:rPr>
          <w:rFonts w:hint="eastAsia"/>
        </w:rPr>
        <w:t>中央监控中心</w:t>
      </w:r>
      <w:r>
        <w:t>用于集中展示SCADA、数字孪生及全工位运行状态。</w:t>
      </w:r>
      <w:r>
        <w:rPr>
          <w:rFonts w:hint="eastAsia" w:ascii="Times New Roman" w:hAnsi="Times New Roman" w:cs="Times New Roman"/>
          <w:bCs w:val="0"/>
        </w:rPr>
        <w:t>所用核心设备为</w:t>
      </w:r>
      <w:r>
        <w:rPr>
          <w:b/>
        </w:rPr>
        <w:t>监控大屏</w:t>
      </w:r>
      <w:r>
        <w:rPr>
          <w:rFonts w:hint="eastAsia"/>
          <w:bCs w:val="0"/>
        </w:rPr>
        <w:t>，</w:t>
      </w:r>
      <w:r>
        <w:t>尺寸≥86英寸，4K分辨率</w:t>
      </w:r>
      <w:r>
        <w:rPr>
          <w:rFonts w:hint="eastAsia"/>
        </w:rPr>
        <w:t>。</w:t>
      </w:r>
      <w:r>
        <w:t>须提供与采购标的1（主系统）视频输出相匹配的</w:t>
      </w:r>
      <w:r>
        <w:rPr>
          <w:b/>
        </w:rPr>
        <w:t>标准高清接口</w:t>
      </w:r>
      <w:r>
        <w:rPr>
          <w:bCs w:val="0"/>
        </w:rPr>
        <w:t>，包含所有必要的连接线材。包含标准的壁挂或落地支架安装服务，并完成与主系统的</w:t>
      </w:r>
      <w:r>
        <w:rPr>
          <w:b/>
        </w:rPr>
        <w:t>连接与信号调试</w:t>
      </w:r>
      <w:r>
        <w:rPr>
          <w:bCs w:val="0"/>
        </w:rPr>
        <w:t>，确保正常显示。</w:t>
      </w:r>
      <w:r>
        <w:rPr>
          <w:rFonts w:hint="eastAsia"/>
          <w:bCs w:val="0"/>
        </w:rPr>
        <w:t>与采购标的1同时交付、安装、调试，并作为整体项目的一部分进行验收。</w:t>
      </w:r>
    </w:p>
    <w:bookmarkEnd w:id="0"/>
    <w:p w14:paraId="44626E6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626"/>
    <w:rsid w:val="00043953"/>
    <w:rsid w:val="00053674"/>
    <w:rsid w:val="00056D7E"/>
    <w:rsid w:val="000C2002"/>
    <w:rsid w:val="000D621B"/>
    <w:rsid w:val="00136FF3"/>
    <w:rsid w:val="001D2530"/>
    <w:rsid w:val="001E2A38"/>
    <w:rsid w:val="002169BD"/>
    <w:rsid w:val="00247EDC"/>
    <w:rsid w:val="00275341"/>
    <w:rsid w:val="002C61BE"/>
    <w:rsid w:val="002E76FC"/>
    <w:rsid w:val="00302980"/>
    <w:rsid w:val="00317626"/>
    <w:rsid w:val="00317883"/>
    <w:rsid w:val="00336761"/>
    <w:rsid w:val="003373E6"/>
    <w:rsid w:val="003474C6"/>
    <w:rsid w:val="00384FEE"/>
    <w:rsid w:val="00397A82"/>
    <w:rsid w:val="003D0C98"/>
    <w:rsid w:val="003E2B17"/>
    <w:rsid w:val="0042278C"/>
    <w:rsid w:val="00442EEB"/>
    <w:rsid w:val="00444685"/>
    <w:rsid w:val="004672D9"/>
    <w:rsid w:val="00467363"/>
    <w:rsid w:val="0047731A"/>
    <w:rsid w:val="004930F5"/>
    <w:rsid w:val="004A15CD"/>
    <w:rsid w:val="004A4A93"/>
    <w:rsid w:val="004E492E"/>
    <w:rsid w:val="00502E28"/>
    <w:rsid w:val="00507998"/>
    <w:rsid w:val="0051704F"/>
    <w:rsid w:val="005B3175"/>
    <w:rsid w:val="005E0039"/>
    <w:rsid w:val="0061408A"/>
    <w:rsid w:val="006254AB"/>
    <w:rsid w:val="006625D5"/>
    <w:rsid w:val="0066721E"/>
    <w:rsid w:val="006A300B"/>
    <w:rsid w:val="006F49BF"/>
    <w:rsid w:val="00701760"/>
    <w:rsid w:val="00751AD8"/>
    <w:rsid w:val="00833069"/>
    <w:rsid w:val="0083751A"/>
    <w:rsid w:val="00851E73"/>
    <w:rsid w:val="00851FE5"/>
    <w:rsid w:val="008555CC"/>
    <w:rsid w:val="008C76FA"/>
    <w:rsid w:val="008C7A6D"/>
    <w:rsid w:val="00935E3D"/>
    <w:rsid w:val="009664D2"/>
    <w:rsid w:val="00993D36"/>
    <w:rsid w:val="009948CF"/>
    <w:rsid w:val="009A2D2E"/>
    <w:rsid w:val="009C434A"/>
    <w:rsid w:val="00A14ED6"/>
    <w:rsid w:val="00A46164"/>
    <w:rsid w:val="00A80293"/>
    <w:rsid w:val="00AB22C4"/>
    <w:rsid w:val="00B542B2"/>
    <w:rsid w:val="00B62E0F"/>
    <w:rsid w:val="00B717B0"/>
    <w:rsid w:val="00B72849"/>
    <w:rsid w:val="00BC4A5D"/>
    <w:rsid w:val="00BD7B63"/>
    <w:rsid w:val="00BF0B21"/>
    <w:rsid w:val="00C3404F"/>
    <w:rsid w:val="00C44DAF"/>
    <w:rsid w:val="00C465AF"/>
    <w:rsid w:val="00C879B0"/>
    <w:rsid w:val="00C9498F"/>
    <w:rsid w:val="00CF7FDA"/>
    <w:rsid w:val="00D356A7"/>
    <w:rsid w:val="00D62898"/>
    <w:rsid w:val="00DD44FD"/>
    <w:rsid w:val="00DE0797"/>
    <w:rsid w:val="00E04AFB"/>
    <w:rsid w:val="00E100A4"/>
    <w:rsid w:val="00E5093D"/>
    <w:rsid w:val="00E52289"/>
    <w:rsid w:val="00E81032"/>
    <w:rsid w:val="00E83B95"/>
    <w:rsid w:val="00ED71CD"/>
    <w:rsid w:val="00F0166C"/>
    <w:rsid w:val="00F20EEC"/>
    <w:rsid w:val="00F51F99"/>
    <w:rsid w:val="00F555C7"/>
    <w:rsid w:val="00FB00E1"/>
    <w:rsid w:val="00FE1F22"/>
    <w:rsid w:val="00FE7281"/>
    <w:rsid w:val="3BC40E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N w:val="0"/>
      <w:snapToGrid w:val="0"/>
    </w:pPr>
    <w:rPr>
      <w:rFonts w:ascii="Segoe UI" w:hAnsi="Segoe UI" w:cs="Segoe UI" w:eastAsiaTheme="minorEastAsia"/>
      <w:bCs/>
      <w:color w:val="0F1115"/>
      <w:kern w:val="2"/>
      <w:sz w:val="24"/>
      <w:szCs w:val="24"/>
      <w:shd w:val="clear" w:color="auto" w:fill="FFFFFF"/>
      <w:lang w:val="en-US" w:eastAsia="zh-CN" w:bidi="ar-SA"/>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unhideWhenUsed/>
    <w:qFormat/>
    <w:uiPriority w:val="0"/>
    <w:pPr>
      <w:keepNext/>
      <w:keepLines/>
      <w:spacing w:before="80" w:after="40"/>
      <w:outlineLvl w:val="4"/>
    </w:pPr>
    <w:rPr>
      <w:rFonts w:cstheme="majorBidi"/>
      <w:color w:val="2F5597" w:themeColor="accent1" w:themeShade="BF"/>
    </w:rPr>
  </w:style>
  <w:style w:type="paragraph" w:styleId="7">
    <w:name w:val="heading 6"/>
    <w:basedOn w:val="1"/>
    <w:next w:val="1"/>
    <w:link w:val="23"/>
    <w:semiHidden/>
    <w:unhideWhenUsed/>
    <w:qFormat/>
    <w:uiPriority w:val="9"/>
    <w:pPr>
      <w:keepNext/>
      <w:keepLines/>
      <w:spacing w:before="40"/>
      <w:outlineLvl w:val="5"/>
    </w:pPr>
    <w:rPr>
      <w:rFonts w:cstheme="majorBidi"/>
      <w:b/>
      <w:bCs w:val="0"/>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val="0"/>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qFormat/>
    <w:uiPriority w:val="99"/>
    <w:pPr>
      <w:tabs>
        <w:tab w:val="center" w:pos="4153"/>
        <w:tab w:val="right" w:pos="8306"/>
      </w:tabs>
    </w:pPr>
    <w:rPr>
      <w:sz w:val="18"/>
      <w:szCs w:val="18"/>
    </w:rPr>
  </w:style>
  <w:style w:type="paragraph" w:styleId="12">
    <w:name w:val="header"/>
    <w:basedOn w:val="1"/>
    <w:link w:val="36"/>
    <w:unhideWhenUsed/>
    <w:qFormat/>
    <w:uiPriority w:val="99"/>
    <w:pPr>
      <w:tabs>
        <w:tab w:val="center" w:pos="4153"/>
        <w:tab w:val="right" w:pos="8306"/>
      </w:tabs>
      <w:jc w:val="center"/>
    </w:pPr>
    <w:rPr>
      <w:sz w:val="18"/>
      <w:szCs w:val="18"/>
    </w:rPr>
  </w:style>
  <w:style w:type="paragraph" w:styleId="13">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7">
    <w:name w:val="Strong"/>
    <w:basedOn w:val="16"/>
    <w:qFormat/>
    <w:uiPriority w:val="0"/>
    <w:rPr>
      <w:b/>
    </w:rPr>
  </w:style>
  <w:style w:type="character" w:customStyle="1" w:styleId="18">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6"/>
    <w:link w:val="5"/>
    <w:semiHidden/>
    <w:qFormat/>
    <w:uiPriority w:val="9"/>
    <w:rPr>
      <w:rFonts w:cstheme="majorBidi"/>
      <w:color w:val="2F5597" w:themeColor="accent1" w:themeShade="BF"/>
      <w:sz w:val="28"/>
      <w:szCs w:val="28"/>
    </w:rPr>
  </w:style>
  <w:style w:type="character" w:customStyle="1" w:styleId="22">
    <w:name w:val="标题 5 字符"/>
    <w:basedOn w:val="16"/>
    <w:link w:val="6"/>
    <w:qFormat/>
    <w:uiPriority w:val="0"/>
    <w:rPr>
      <w:rFonts w:cstheme="majorBidi"/>
      <w:color w:val="2F5597" w:themeColor="accent1" w:themeShade="BF"/>
      <w:sz w:val="24"/>
      <w:szCs w:val="24"/>
    </w:rPr>
  </w:style>
  <w:style w:type="character" w:customStyle="1" w:styleId="23">
    <w:name w:val="标题 6 字符"/>
    <w:basedOn w:val="16"/>
    <w:link w:val="7"/>
    <w:semiHidden/>
    <w:qFormat/>
    <w:uiPriority w:val="9"/>
    <w:rPr>
      <w:rFonts w:cstheme="majorBidi"/>
      <w:b/>
      <w:bCs/>
      <w:color w:val="2F5597"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6"/>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99"/>
    <w:pPr>
      <w:ind w:left="720"/>
      <w:contextualSpacing/>
    </w:pPr>
  </w:style>
  <w:style w:type="character" w:customStyle="1" w:styleId="32">
    <w:name w:val="Intense Emphasis"/>
    <w:basedOn w:val="16"/>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6"/>
    <w:link w:val="33"/>
    <w:qFormat/>
    <w:uiPriority w:val="30"/>
    <w:rPr>
      <w:i/>
      <w:iCs/>
      <w:color w:val="2F5597" w:themeColor="accent1" w:themeShade="BF"/>
    </w:rPr>
  </w:style>
  <w:style w:type="character" w:customStyle="1" w:styleId="35">
    <w:name w:val="Intense Reference"/>
    <w:basedOn w:val="16"/>
    <w:qFormat/>
    <w:uiPriority w:val="32"/>
    <w:rPr>
      <w:b/>
      <w:bCs/>
      <w:smallCaps/>
      <w:color w:val="2F5597" w:themeColor="accent1" w:themeShade="BF"/>
      <w:spacing w:val="5"/>
    </w:rPr>
  </w:style>
  <w:style w:type="character" w:customStyle="1" w:styleId="36">
    <w:name w:val="页眉 字符"/>
    <w:basedOn w:val="16"/>
    <w:link w:val="12"/>
    <w:qFormat/>
    <w:uiPriority w:val="99"/>
    <w:rPr>
      <w:sz w:val="18"/>
      <w:szCs w:val="18"/>
    </w:rPr>
  </w:style>
  <w:style w:type="character" w:customStyle="1" w:styleId="37">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1136</Words>
  <Characters>1250</Characters>
  <Lines>25</Lines>
  <Paragraphs>7</Paragraphs>
  <TotalTime>71</TotalTime>
  <ScaleCrop>false</ScaleCrop>
  <LinksUpToDate>false</LinksUpToDate>
  <CharactersWithSpaces>1302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2025-11-27T05:49:00Z</dcterms:created>
  <dc:creator>土豆 牛奶</dc:creator>
  <cp:lastModifiedBy>段池</cp:lastModifiedBy>
  <dcterms:modified xsi:type="dcterms:W3CDTF">2026-01-19T07:14:26Z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2EE9FBDC8F644D648BAB6ED4309534E4_12</vt:lpwstr>
  </property>
</Properties>
</file>