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3FDA64">
      <w:pPr>
        <w:spacing w:after="312" w:afterLines="100" w:line="440" w:lineRule="exact"/>
        <w:jc w:val="center"/>
        <w:rPr>
          <w:rFonts w:ascii="Times New Roman" w:hAnsi="Times New Roman" w:eastAsia="宋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湘雅医学院高通量蛋白组质谱系统采购项目技术参数</w:t>
      </w:r>
    </w:p>
    <w:p w14:paraId="1E18B278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1.工作条件</w:t>
      </w:r>
    </w:p>
    <w:p w14:paraId="34836429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1.1电源：230V±10%，50/60Hz；</w:t>
      </w:r>
    </w:p>
    <w:p w14:paraId="2FA64612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1.2环境温度：18-27℃；</w:t>
      </w:r>
    </w:p>
    <w:p w14:paraId="18DAFDD4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1.3相对湿度：20-80%，且无冷凝和无腐蚀性环境；</w:t>
      </w:r>
    </w:p>
    <w:p w14:paraId="244866F7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1.4气体需求：高纯氮气，最大消耗量 ≤ 20 L/min；</w:t>
      </w:r>
    </w:p>
    <w:p w14:paraId="08A2C702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2.质谱部分：</w:t>
      </w:r>
    </w:p>
    <w:p w14:paraId="67B950D2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2.1离子源部分</w:t>
      </w:r>
    </w:p>
    <w:p w14:paraId="4B5E71DD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2.1.1独立的可加热电喷雾离子源，集成式气路电路设计，安装离子源时即可实现气路电路连接，自动识别，无需进行额外操作；</w:t>
      </w:r>
    </w:p>
    <w:p w14:paraId="01430281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2.1.2喷针采用≥60度喷雾设计，前后，左右，上下可调，正对废液出口。雾化后，废产物直接进入废液出口，确保离子源腔体洁净；</w:t>
      </w:r>
    </w:p>
    <w:p w14:paraId="02C3D2D4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2.1.3具有雾化气和辅助雾化气，提高雾化效率和稳定性，具有强的雾化效果抗污染能力；</w:t>
      </w:r>
    </w:p>
    <w:p w14:paraId="2D7BB8D4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 xml:space="preserve">2.1.4离子源加热温度最高可达550℃，不分流的情况下采用纯水作为溶剂，流速为1ul-1000ul/min； </w:t>
      </w:r>
    </w:p>
    <w:p w14:paraId="7E6E69A0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2.1.5全自动注射泵实现质谱直接进样，自动调谐和校正，可通过软件自动切换模式；</w:t>
      </w:r>
    </w:p>
    <w:p w14:paraId="6CD7110D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2.1.6质谱配置软件具备实时监控并反馈喷雾稳定性功能；</w:t>
      </w:r>
    </w:p>
    <w:p w14:paraId="11B613F1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2.1.7离子源腔体具有观察窗口，可以直接观察喷雾效果以及离子源腔体洁净程度；</w:t>
      </w:r>
    </w:p>
    <w:p w14:paraId="5ED49BD9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  <w:highlight w:val="yellow"/>
        </w:rPr>
        <w:t>2.1.8提供</w:t>
      </w:r>
      <w:r>
        <w:rPr>
          <w:rFonts w:ascii="Times New Roman" w:hAnsi="Times New Roman" w:eastAsia="宋体" w:cs="Times New Roman"/>
          <w:bCs/>
          <w:sz w:val="24"/>
          <w:szCs w:val="24"/>
          <w:highlight w:val="yellow"/>
        </w:rPr>
        <w:t>高场非对称波形离子迁移谱</w:t>
      </w:r>
      <w:r>
        <w:rPr>
          <w:rFonts w:hint="eastAsia" w:ascii="Times New Roman" w:hAnsi="Times New Roman" w:eastAsia="宋体" w:cs="Times New Roman"/>
          <w:bCs/>
          <w:sz w:val="24"/>
          <w:szCs w:val="24"/>
          <w:highlight w:val="yellow"/>
        </w:rPr>
        <w:t>1套，提供</w:t>
      </w:r>
      <w:r>
        <w:rPr>
          <w:rFonts w:ascii="Times New Roman" w:hAnsi="Times New Roman" w:eastAsia="宋体" w:cs="Times New Roman"/>
          <w:bCs/>
          <w:sz w:val="24"/>
          <w:szCs w:val="24"/>
          <w:highlight w:val="yellow"/>
        </w:rPr>
        <w:t>离子迁移率非线性变化特性</w:t>
      </w:r>
      <w:r>
        <w:rPr>
          <w:rFonts w:hint="eastAsia" w:ascii="Times New Roman" w:hAnsi="Times New Roman" w:eastAsia="宋体" w:cs="Times New Roman"/>
          <w:bCs/>
          <w:sz w:val="24"/>
          <w:szCs w:val="24"/>
          <w:highlight w:val="yellow"/>
        </w:rPr>
        <w:t>。</w:t>
      </w:r>
    </w:p>
    <w:p w14:paraId="1127AD8A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2.2离子传输系统</w:t>
      </w:r>
    </w:p>
    <w:p w14:paraId="3A394852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2.2.1离子传输系统配有金属离子传输管设计，保护分子涡轮泵，减少真空负担；</w:t>
      </w:r>
    </w:p>
    <w:p w14:paraId="42984CAD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2.2.2大口径高容量离子传输管；</w:t>
      </w:r>
    </w:p>
    <w:p w14:paraId="67C26F59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2.2.3离子传输管独立加热，最高温度可达400℃；</w:t>
      </w:r>
    </w:p>
    <w:p w14:paraId="293695C1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2.2.4具有真空隔断阀设计，在移去、清洗离子传输部件时，不需破坏真空, 待机时不需要消耗氮气</w:t>
      </w:r>
      <w:bookmarkStart w:id="0" w:name="_GoBack"/>
      <w:bookmarkEnd w:id="0"/>
      <w:r>
        <w:rPr>
          <w:rFonts w:ascii="Times New Roman" w:hAnsi="Times New Roman" w:eastAsia="宋体" w:cs="Times New Roman"/>
          <w:bCs/>
          <w:sz w:val="24"/>
          <w:szCs w:val="24"/>
        </w:rPr>
        <w:t>；</w:t>
      </w:r>
    </w:p>
    <w:p w14:paraId="2E1BE096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2.2.5 电动离子漏斗：能有效捕获离子并聚焦，采用独立一体化设计，采用不锈钢材质，拆卸方便；</w:t>
      </w:r>
    </w:p>
    <w:p w14:paraId="7E839B4D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2.2.6快速离子过滤器：可快速过滤离子、降低背景噪音；</w:t>
      </w:r>
    </w:p>
    <w:p w14:paraId="19E9DDC0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2.2.7弯曲阱：双弯曲几何设计，可消除中性粒子和高速团粒子团，保持离子传输通道的干净，减少噪音；同时具备自动增益控制 (AGC) 调节离子的预富集功能，可提高占空比和灵敏度；</w:t>
      </w:r>
    </w:p>
    <w:p w14:paraId="3BECBD22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2.3质量分析器部分：</w:t>
      </w:r>
    </w:p>
    <w:p w14:paraId="0420858A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2.3.1质量范围40-6000 m/z；</w:t>
      </w:r>
    </w:p>
    <w:p w14:paraId="6EAFBDD8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color w:val="C00000"/>
          <w:sz w:val="24"/>
          <w:szCs w:val="24"/>
        </w:rPr>
        <w:t>2.3.2</w:t>
      </w:r>
      <w:r>
        <w:rPr>
          <w:rFonts w:ascii="Times New Roman" w:hAnsi="Times New Roman" w:eastAsia="宋体" w:cs="Times New Roman"/>
          <w:bCs/>
          <w:sz w:val="24"/>
          <w:szCs w:val="24"/>
        </w:rPr>
        <w:t>分辨率：7500 - 480,000 FWHM ( m/z ≤ 200)；≥ 4档可调；</w:t>
      </w:r>
    </w:p>
    <w:p w14:paraId="671308F1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2.3.3双曲面分段四极杆，分辨率可达到0.4 Da；可选择隔离窗口宽度0.4 Da-1200 Da，MS/MS母离子选择质量范围40-2500 m/z；</w:t>
      </w:r>
    </w:p>
    <w:p w14:paraId="604B00F5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2.3.4动态范围：大于等于五个数量级的谱内动态范围；</w:t>
      </w:r>
    </w:p>
    <w:p w14:paraId="38709710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2.3.5采集速率：最高可达40 Hz；</w:t>
      </w:r>
    </w:p>
    <w:p w14:paraId="52601568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color w:val="C00000"/>
          <w:sz w:val="24"/>
          <w:szCs w:val="24"/>
        </w:rPr>
        <w:t>2.3.6</w:t>
      </w:r>
      <w:r>
        <w:rPr>
          <w:rFonts w:ascii="Times New Roman" w:hAnsi="Times New Roman" w:eastAsia="宋体" w:cs="Times New Roman"/>
          <w:bCs/>
          <w:sz w:val="24"/>
          <w:szCs w:val="24"/>
        </w:rPr>
        <w:t>质量精度以及质量轴稳定性：外标校正后24小时内 ≤3 ppm RMS；内标校正后24小时内 ≤1 ppm RMS；</w:t>
      </w:r>
    </w:p>
    <w:p w14:paraId="4B221364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2.3.7灵敏度</w:t>
      </w:r>
    </w:p>
    <w:p w14:paraId="754ED0A5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2.3.7.1 MS/MS灵敏度：柱上50 fg 利血平进样，S/N ≥ 100:1；</w:t>
      </w:r>
    </w:p>
    <w:p w14:paraId="6BA74AAA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2.3.7.2选择离子扫描SIM灵敏度：柱上50 fg 利血平进样，S/N ≥ 150:1；</w:t>
      </w:r>
    </w:p>
    <w:p w14:paraId="0BE85E5D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 xml:space="preserve">2.3.8 扫描模式  </w:t>
      </w:r>
    </w:p>
    <w:p w14:paraId="6C78B9F9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 xml:space="preserve">2.3.8.1高分辨全扫描MS和MS/MS； </w:t>
      </w:r>
    </w:p>
    <w:p w14:paraId="6E837B64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 xml:space="preserve">2.3.8.2高分辨选择离子扫描； </w:t>
      </w:r>
    </w:p>
    <w:p w14:paraId="4521A7EF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2.3.8.3高分辨正负离子切换扫描；</w:t>
      </w:r>
    </w:p>
    <w:p w14:paraId="3734585D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2.3.8.4高分辨数据依赖子离子扫描；</w:t>
      </w:r>
    </w:p>
    <w:p w14:paraId="6E2EA7C5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2.3.8.5高分辨数据非依赖扫描（DIA）；</w:t>
      </w:r>
    </w:p>
    <w:p w14:paraId="0EE7356B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2.3.8.6高分辨平行反应监测子离子扫描；</w:t>
      </w:r>
    </w:p>
    <w:p w14:paraId="56F8FF4B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2.3.9检测器: 傅里叶变换（FT）无损检测；质谱如果采用微通道板（MCP）或电子倍增器等消耗型检测器，需提供相应备用检测器至少 5 个；</w:t>
      </w:r>
    </w:p>
    <w:p w14:paraId="2966CDA5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color w:val="C00000"/>
          <w:sz w:val="24"/>
          <w:szCs w:val="24"/>
        </w:rPr>
        <w:t>2.3.10</w:t>
      </w:r>
      <w:r>
        <w:rPr>
          <w:rFonts w:ascii="Times New Roman" w:hAnsi="Times New Roman" w:eastAsia="宋体" w:cs="Times New Roman"/>
          <w:bCs/>
          <w:sz w:val="24"/>
          <w:szCs w:val="24"/>
        </w:rPr>
        <w:t>配备离子淌度模块：能去除干扰物的同时提高目标物的传输效率，提高分析选择性，兼容100 nL/min至1 mL/min的流动相流速；</w:t>
      </w:r>
    </w:p>
    <w:p w14:paraId="67EBEDE8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2.4 质量分析器部分-2：</w:t>
      </w:r>
    </w:p>
    <w:p w14:paraId="6112DB9C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2.4.1质量范围：40-6000 m/z；</w:t>
      </w:r>
    </w:p>
    <w:p w14:paraId="2B7FD2F4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color w:val="C00000"/>
          <w:sz w:val="24"/>
          <w:szCs w:val="24"/>
        </w:rPr>
        <w:t>2.4.2</w:t>
      </w:r>
      <w:r>
        <w:rPr>
          <w:rFonts w:ascii="Times New Roman" w:hAnsi="Times New Roman" w:eastAsia="宋体" w:cs="Times New Roman"/>
          <w:bCs/>
          <w:sz w:val="24"/>
          <w:szCs w:val="24"/>
        </w:rPr>
        <w:t>分辨率：在 524 m/z 下可达 80,000 FWHM；具有TMT HR 模式，在 138 m/z 下可达 100,000 FWHM；</w:t>
      </w:r>
    </w:p>
    <w:p w14:paraId="61CCA7F7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color w:val="C00000"/>
          <w:sz w:val="24"/>
          <w:szCs w:val="24"/>
        </w:rPr>
        <w:t>2.4.3</w:t>
      </w:r>
      <w:r>
        <w:rPr>
          <w:rFonts w:ascii="Times New Roman" w:hAnsi="Times New Roman" w:eastAsia="宋体" w:cs="Times New Roman"/>
          <w:bCs/>
          <w:sz w:val="24"/>
          <w:szCs w:val="24"/>
        </w:rPr>
        <w:t>采集速度：MS2采集速度最高达 270 Hz，最大离子注入时间可达 3 ms；</w:t>
      </w:r>
    </w:p>
    <w:p w14:paraId="035499F5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2.4.4质量精度：使用校正液测量，外标校正24小时内 ≤5 ppm；</w:t>
      </w:r>
    </w:p>
    <w:p w14:paraId="6D7A6581">
      <w:pPr>
        <w:spacing w:line="440" w:lineRule="exact"/>
        <w:jc w:val="left"/>
        <w:rPr>
          <w:rFonts w:hint="eastAsia"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2.5安装包：提供仪器预安装包一套，辅助设备现场安装。</w:t>
      </w:r>
    </w:p>
    <w:p w14:paraId="5FA2FCB5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3.1纳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升液相色谱仪</w:t>
      </w:r>
      <w:r>
        <w:rPr>
          <w:rFonts w:ascii="Times New Roman" w:hAnsi="Times New Roman" w:eastAsia="宋体" w:cs="Times New Roman"/>
          <w:bCs/>
          <w:sz w:val="24"/>
          <w:szCs w:val="24"/>
        </w:rPr>
        <w:t xml:space="preserve"> </w:t>
      </w:r>
    </w:p>
    <w:p w14:paraId="0AC58825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 xml:space="preserve">3.1.1泵型及工作原理：带主动流量控制的高压二元梯度泵； </w:t>
      </w:r>
    </w:p>
    <w:p w14:paraId="5704BC7F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3.1.2最大耐受压力：150 MPa；</w:t>
      </w:r>
    </w:p>
    <w:p w14:paraId="6BC031CB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3.1.3可设定流速范围：1 nL/min–100 µL/min, 1 nL 增量；</w:t>
      </w:r>
    </w:p>
    <w:p w14:paraId="47433AE5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3.1.4泵溶剂通道：≥2 个；</w:t>
      </w:r>
    </w:p>
    <w:p w14:paraId="793750A9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3.1.5泵对系统梯度的延迟体积：≤ 25 nL；</w:t>
      </w:r>
    </w:p>
    <w:p w14:paraId="5A1E4BB2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3.1.6生物兼容性：兼容；</w:t>
      </w:r>
    </w:p>
    <w:p w14:paraId="574ABF82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 xml:space="preserve">3.1.7梯度延迟体积：≤ 0.5 µL； </w:t>
      </w:r>
    </w:p>
    <w:p w14:paraId="69A1C1E1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 xml:space="preserve">3.2自动进样器 </w:t>
      </w:r>
    </w:p>
    <w:p w14:paraId="7D97C4E7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3.2.1进样体积范围：0.01–25 μL, 步长 0.01 μL；</w:t>
      </w:r>
    </w:p>
    <w:p w14:paraId="4269CEE6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3.2.2自动进样器控温：4–40 °C；</w:t>
      </w:r>
    </w:p>
    <w:p w14:paraId="7033267E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3.2.3样品盘温度稳定性：±1 °C；</w:t>
      </w:r>
    </w:p>
    <w:p w14:paraId="7558A0EA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3.2.4样品盘和容量：1.5ml样品瓶最多能放216个；</w:t>
      </w:r>
    </w:p>
    <w:p w14:paraId="642215A2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3.2.5自动进样器溶液：4 个洗针液：内外针洗，强弱各一；</w:t>
      </w:r>
    </w:p>
    <w:p w14:paraId="0AA4E5F6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3.2.6瓶底检测技术：可设置吸取3µL中的2.5µL；</w:t>
      </w:r>
    </w:p>
    <w:p w14:paraId="7316B660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3.3柱温箱</w:t>
      </w:r>
    </w:p>
    <w:p w14:paraId="495F80ED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3.3.1温控范围：高于室温5℃-80℃；</w:t>
      </w:r>
    </w:p>
    <w:p w14:paraId="6FE1EE45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3.3.2温度精度：± 0.1 ℃；</w:t>
      </w:r>
    </w:p>
    <w:p w14:paraId="497EB5AB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3.3.3温度准确度：± 0.5 ℃；</w:t>
      </w:r>
    </w:p>
    <w:p w14:paraId="30C04CE2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  <w:highlight w:val="green"/>
        </w:rPr>
        <w:t>3.3.4含柱温箱延长线和色谱柱柱温箱起始包。</w:t>
      </w:r>
    </w:p>
    <w:p w14:paraId="4705B644">
      <w:pPr>
        <w:spacing w:line="440" w:lineRule="exact"/>
        <w:jc w:val="left"/>
        <w:rPr>
          <w:rFonts w:hint="eastAsia"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3.4</w:t>
      </w:r>
      <w:r>
        <w:rPr>
          <w:rFonts w:hint="eastAsia" w:ascii="Times New Roman" w:hAnsi="Times New Roman" w:eastAsia="宋体" w:cs="Times New Roman"/>
          <w:bCs/>
          <w:sz w:val="24"/>
          <w:szCs w:val="24"/>
          <w:highlight w:val="yellow"/>
        </w:rPr>
        <w:t>提供金属高压三通连接器，与质谱连接传输样品。</w:t>
      </w:r>
    </w:p>
    <w:p w14:paraId="1D0C2A7A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4 单细胞分析系统</w:t>
      </w:r>
    </w:p>
    <w:p w14:paraId="76C65D7D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4.1高精度X、Y、Z移动平台：移动范围：X≥180mm，Y≥120mm，运行速度至少满足：0-100cm/s，分配器位置重复移动精度≤3μm。</w:t>
      </w:r>
    </w:p>
    <w:p w14:paraId="32FD7614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4.2提供全自动上样，上样由喷嘴移动吸取，可从试管、96孔板、384孔板、1536孔板等采集样品，最小上样体积≤2ul。</w:t>
      </w:r>
    </w:p>
    <w:p w14:paraId="40A7A5DF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4.3检测细胞颗粒大小：至少涵盖2um-80um。</w:t>
      </w:r>
    </w:p>
    <w:p w14:paraId="7A933639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4.4分选速度：96孔板分选≤5分钟。</w:t>
      </w:r>
    </w:p>
    <w:p w14:paraId="5DEADC0E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</w:p>
    <w:p w14:paraId="7198FA3C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  <w:highlight w:val="green"/>
        </w:rPr>
        <w:t>5.激光拉柱仪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：可以拉制原材料外径范围在0.125mm至0.6mm的玻璃管；稳定拉制各种尺寸的锥形缩肩和针尖，拉制规格是0.02um-20um；CO</w:t>
      </w:r>
      <w:r>
        <w:rPr>
          <w:rFonts w:hint="eastAsia" w:ascii="Times New Roman" w:hAnsi="Times New Roman" w:eastAsia="宋体" w:cs="Times New Roman"/>
          <w:bCs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激光；</w:t>
      </w:r>
    </w:p>
    <w:p w14:paraId="6AA00281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纳升级移液系统：可以批量处理96孔，384孔样品板；移液范围从2.5nl到100ul，无交叉污染的风险；不使用移液枪头。</w:t>
      </w:r>
    </w:p>
    <w:p w14:paraId="7B02E2D7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  <w:highlight w:val="green"/>
        </w:rPr>
        <w:t>6.全自动样本制备仪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：单次可处理1-96个样品；包好加热振荡，正压模块，自动调齐样品液体体积，蛋白定量模块；可以适配96孔除盐板。</w:t>
      </w:r>
    </w:p>
    <w:p w14:paraId="38C54D37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  <w:highlight w:val="green"/>
        </w:rPr>
        <w:t>7.非接触式超声破碎仪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：可以单次处理1-96个样品；适配0.6ml，1.5ml离心管和96孔PCR样品板；包含温度控制模块，精度误差≤0.1℃；可用于处理微量样品，最小处理体积≤5µl；具有精准的超声功率。</w:t>
      </w:r>
    </w:p>
    <w:p w14:paraId="68E61189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8.</w:t>
      </w:r>
      <w:r>
        <w:rPr>
          <w:rFonts w:ascii="Times New Roman" w:hAnsi="Times New Roman" w:eastAsia="宋体" w:cs="Times New Roman"/>
          <w:bCs/>
          <w:sz w:val="24"/>
          <w:szCs w:val="24"/>
          <w:highlight w:val="yellow"/>
        </w:rPr>
        <w:t>冷冻提取浓缩仪</w:t>
      </w:r>
    </w:p>
    <w:p w14:paraId="50B50A26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8.1冷冻离心浓缩仪主机：腔体内侧具有耐腐蚀涂层，最高转速≥1500rpm，配备1.5ml、0.6ml和96孔板的转子。</w:t>
      </w:r>
    </w:p>
    <w:p w14:paraId="76B5E6AC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8.2真空泵采用抗化学腐蚀隔膜设计，泵头≥4个，极限真空度≤2.2mabr。</w:t>
      </w:r>
    </w:p>
    <w:p w14:paraId="4269B0A4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8.3冷阱极限温度≤-90℃，内腔具有防腐蚀涂层。</w:t>
      </w:r>
    </w:p>
    <w:p w14:paraId="7C941D38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9.</w:t>
      </w:r>
      <w:r>
        <w:rPr>
          <w:rFonts w:ascii="Times New Roman" w:hAnsi="Times New Roman" w:eastAsia="宋体" w:cs="Times New Roman"/>
          <w:bCs/>
          <w:sz w:val="24"/>
          <w:szCs w:val="24"/>
        </w:rPr>
        <w:t>深度学习服务器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和控制软件</w:t>
      </w:r>
    </w:p>
    <w:p w14:paraId="5F7E8F17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  <w:highlight w:val="green"/>
        </w:rPr>
        <w:t>9.1工作站一套：64位操作系统，CPU</w:t>
      </w:r>
      <w:r>
        <w:rPr>
          <w:rFonts w:ascii="Times New Roman" w:hAnsi="Times New Roman" w:eastAsia="宋体" w:cs="Times New Roman"/>
          <w:bCs/>
          <w:sz w:val="24"/>
          <w:szCs w:val="24"/>
          <w:highlight w:val="green"/>
        </w:rPr>
        <w:t>总计</w:t>
      </w:r>
      <w:r>
        <w:rPr>
          <w:rFonts w:hint="eastAsia" w:ascii="Times New Roman" w:hAnsi="Times New Roman" w:eastAsia="宋体" w:cs="Times New Roman"/>
          <w:bCs/>
          <w:sz w:val="24"/>
          <w:szCs w:val="24"/>
          <w:highlight w:val="green"/>
        </w:rPr>
        <w:t>核心</w:t>
      </w:r>
      <w:r>
        <w:rPr>
          <w:rFonts w:ascii="Times New Roman" w:hAnsi="Times New Roman" w:eastAsia="宋体" w:cs="Times New Roman"/>
          <w:bCs/>
          <w:sz w:val="24"/>
          <w:szCs w:val="24"/>
          <w:highlight w:val="green"/>
        </w:rPr>
        <w:t>≥56</w:t>
      </w:r>
      <w:r>
        <w:rPr>
          <w:rFonts w:hint="eastAsia" w:ascii="Times New Roman" w:hAnsi="Times New Roman" w:eastAsia="宋体" w:cs="Times New Roman"/>
          <w:bCs/>
          <w:sz w:val="24"/>
          <w:szCs w:val="24"/>
          <w:highlight w:val="green"/>
        </w:rPr>
        <w:t>个，运行内存不低于1T，固态硬盘不低于1T，存储硬盘不低于10T，并适配能流畅运行软件和仪器的其它配置。配备主机、显示器、鼠标和键盘等基础部件。</w:t>
      </w:r>
    </w:p>
    <w:p w14:paraId="5931D891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9.2软件</w:t>
      </w:r>
      <w:r>
        <w:rPr>
          <w:rFonts w:ascii="Times New Roman" w:hAnsi="Times New Roman" w:eastAsia="宋体" w:cs="Times New Roman"/>
          <w:bCs/>
          <w:sz w:val="24"/>
          <w:szCs w:val="24"/>
        </w:rPr>
        <w:t>操作界面可以实现高效的仪器调谐和方法优化，方法优化还包括碰撞气压力以及碰撞能量的自动优化，并可利用优化后的参数快速便捷地建立分析方法；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仪器控制</w:t>
      </w:r>
      <w:r>
        <w:rPr>
          <w:rFonts w:ascii="Times New Roman" w:hAnsi="Times New Roman" w:eastAsia="宋体" w:cs="Times New Roman"/>
          <w:bCs/>
          <w:sz w:val="24"/>
          <w:szCs w:val="24"/>
        </w:rPr>
        <w:t>软件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和蛋白组学分析软件</w:t>
      </w:r>
      <w:r>
        <w:rPr>
          <w:rFonts w:ascii="Times New Roman" w:hAnsi="Times New Roman" w:eastAsia="宋体" w:cs="Times New Roman"/>
          <w:bCs/>
          <w:sz w:val="24"/>
          <w:szCs w:val="24"/>
        </w:rPr>
        <w:t>具备数据采集、数据处理、定性定量分析、建立数据库、谱库检索等功能；软件能够满足当今分析检测实验室需求，提供能够实现最优化痕量分析的全套系统解决方案</w:t>
      </w:r>
    </w:p>
    <w:p w14:paraId="6B7471C7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10. 蛋白分析柱：配套</w:t>
      </w:r>
      <w:r>
        <w:rPr>
          <w:rFonts w:ascii="Times New Roman" w:hAnsi="Times New Roman" w:eastAsia="宋体" w:cs="Times New Roman"/>
          <w:bCs/>
          <w:sz w:val="24"/>
          <w:szCs w:val="24"/>
        </w:rPr>
        <w:t>蛋白分析色谱柱≥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15</w:t>
      </w:r>
      <w:r>
        <w:rPr>
          <w:rFonts w:ascii="Times New Roman" w:hAnsi="Times New Roman" w:eastAsia="宋体" w:cs="Times New Roman"/>
          <w:bCs/>
          <w:sz w:val="24"/>
          <w:szCs w:val="24"/>
        </w:rPr>
        <w:t>根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，并能与仪器适配</w:t>
      </w:r>
      <w:r>
        <w:rPr>
          <w:rFonts w:ascii="Times New Roman" w:hAnsi="Times New Roman" w:eastAsia="宋体" w:cs="Times New Roman"/>
          <w:bCs/>
          <w:sz w:val="24"/>
          <w:szCs w:val="24"/>
        </w:rPr>
        <w:t>；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配套</w:t>
      </w:r>
      <w:r>
        <w:rPr>
          <w:rFonts w:ascii="Times New Roman" w:hAnsi="Times New Roman" w:eastAsia="宋体" w:cs="Times New Roman"/>
          <w:bCs/>
          <w:sz w:val="24"/>
          <w:szCs w:val="24"/>
        </w:rPr>
        <w:t>蛋白分析保护柱≥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5</w:t>
      </w:r>
      <w:r>
        <w:rPr>
          <w:rFonts w:ascii="Times New Roman" w:hAnsi="Times New Roman" w:eastAsia="宋体" w:cs="Times New Roman"/>
          <w:bCs/>
          <w:sz w:val="24"/>
          <w:szCs w:val="24"/>
        </w:rPr>
        <w:t>根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，并能与仪器适配</w:t>
      </w:r>
      <w:r>
        <w:rPr>
          <w:rFonts w:ascii="Times New Roman" w:hAnsi="Times New Roman" w:eastAsia="宋体" w:cs="Times New Roman"/>
          <w:bCs/>
          <w:sz w:val="24"/>
          <w:szCs w:val="24"/>
        </w:rPr>
        <w:t>；</w:t>
      </w:r>
    </w:p>
    <w:p w14:paraId="52595B74">
      <w:pPr>
        <w:spacing w:line="440" w:lineRule="exact"/>
        <w:jc w:val="left"/>
        <w:rPr>
          <w:rFonts w:hint="eastAsia"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11.机械泵油：提供机械泵油备用油</w:t>
      </w:r>
      <w:r>
        <w:rPr>
          <w:rFonts w:ascii="Times New Roman" w:hAnsi="Times New Roman" w:eastAsia="宋体" w:cs="Times New Roman"/>
          <w:bCs/>
          <w:sz w:val="24"/>
          <w:szCs w:val="24"/>
        </w:rPr>
        <w:t>≥2瓶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，总量</w:t>
      </w:r>
      <w:r>
        <w:rPr>
          <w:rFonts w:ascii="Times New Roman" w:hAnsi="Times New Roman" w:eastAsia="宋体" w:cs="Times New Roman"/>
          <w:bCs/>
          <w:sz w:val="24"/>
          <w:szCs w:val="24"/>
        </w:rPr>
        <w:t>≥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2</w:t>
      </w:r>
      <w:r>
        <w:rPr>
          <w:rFonts w:ascii="Times New Roman" w:hAnsi="Times New Roman" w:eastAsia="宋体" w:cs="Times New Roman"/>
          <w:bCs/>
          <w:sz w:val="24"/>
          <w:szCs w:val="24"/>
        </w:rPr>
        <w:t>L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。</w:t>
      </w:r>
    </w:p>
    <w:p w14:paraId="21607EFC">
      <w:pPr>
        <w:spacing w:line="440" w:lineRule="exact"/>
        <w:jc w:val="left"/>
        <w:rPr>
          <w:rFonts w:hint="eastAsia"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12.样品瓶：</w:t>
      </w:r>
      <w:r>
        <w:rPr>
          <w:rFonts w:ascii="Times New Roman" w:hAnsi="Times New Roman" w:eastAsia="宋体" w:cs="Times New Roman"/>
          <w:bCs/>
          <w:sz w:val="24"/>
          <w:szCs w:val="24"/>
        </w:rPr>
        <w:t>0.2ML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样品瓶（</w:t>
      </w:r>
      <w:r>
        <w:rPr>
          <w:rFonts w:ascii="Times New Roman" w:hAnsi="Times New Roman" w:eastAsia="宋体" w:cs="Times New Roman"/>
          <w:bCs/>
          <w:sz w:val="24"/>
          <w:szCs w:val="24"/>
        </w:rPr>
        <w:t>棕色 TPX 螺口内插管一体）≥5包</w:t>
      </w:r>
    </w:p>
    <w:p w14:paraId="6D90E3F4">
      <w:pPr>
        <w:spacing w:line="440" w:lineRule="exact"/>
        <w:jc w:val="left"/>
        <w:rPr>
          <w:rFonts w:hint="eastAsia"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13.激光打印机：要求可进行A4纸双面打印</w:t>
      </w:r>
    </w:p>
    <w:p w14:paraId="306997ED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14.不间断电源：功率</w:t>
      </w:r>
      <w:r>
        <w:rPr>
          <w:rFonts w:ascii="Times New Roman" w:hAnsi="Times New Roman" w:eastAsia="宋体" w:cs="Times New Roman"/>
          <w:bCs/>
          <w:sz w:val="24"/>
          <w:szCs w:val="24"/>
        </w:rPr>
        <w:t>10kw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时可运行2h</w:t>
      </w:r>
    </w:p>
    <w:p w14:paraId="19D62E89">
      <w:pPr>
        <w:spacing w:line="440" w:lineRule="exact"/>
        <w:jc w:val="left"/>
        <w:rPr>
          <w:rFonts w:hint="eastAsia"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15隔离变压器：符合仪器电压要求，提供仪器主机工作电压转换需求。</w:t>
      </w:r>
    </w:p>
    <w:p w14:paraId="41DDA093">
      <w:pPr>
        <w:spacing w:line="440" w:lineRule="exact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k5ZDljNjY2NjIwZjY1MzM5MDk4ZTQyMGQ5NzQ1YmUifQ=="/>
  </w:docVars>
  <w:rsids>
    <w:rsidRoot w:val="0033779C"/>
    <w:rsid w:val="00014C61"/>
    <w:rsid w:val="000207FD"/>
    <w:rsid w:val="00035A5C"/>
    <w:rsid w:val="000416C3"/>
    <w:rsid w:val="00041CEE"/>
    <w:rsid w:val="000631DF"/>
    <w:rsid w:val="00091310"/>
    <w:rsid w:val="00091BEF"/>
    <w:rsid w:val="000D674D"/>
    <w:rsid w:val="000E2E69"/>
    <w:rsid w:val="00124507"/>
    <w:rsid w:val="00142B60"/>
    <w:rsid w:val="00171A07"/>
    <w:rsid w:val="00172DC9"/>
    <w:rsid w:val="001D39EA"/>
    <w:rsid w:val="002010B8"/>
    <w:rsid w:val="002078E9"/>
    <w:rsid w:val="002166D0"/>
    <w:rsid w:val="0023544D"/>
    <w:rsid w:val="002A425D"/>
    <w:rsid w:val="002C2D38"/>
    <w:rsid w:val="002F3B8D"/>
    <w:rsid w:val="003034BB"/>
    <w:rsid w:val="0033779C"/>
    <w:rsid w:val="00356A48"/>
    <w:rsid w:val="00363090"/>
    <w:rsid w:val="00380AEB"/>
    <w:rsid w:val="003D05D8"/>
    <w:rsid w:val="00461DEC"/>
    <w:rsid w:val="00475E8D"/>
    <w:rsid w:val="00484200"/>
    <w:rsid w:val="004915C7"/>
    <w:rsid w:val="004B283B"/>
    <w:rsid w:val="004D36ED"/>
    <w:rsid w:val="004F5D54"/>
    <w:rsid w:val="00500832"/>
    <w:rsid w:val="00504852"/>
    <w:rsid w:val="00520B80"/>
    <w:rsid w:val="00547AB7"/>
    <w:rsid w:val="00560C77"/>
    <w:rsid w:val="00590B01"/>
    <w:rsid w:val="00597F98"/>
    <w:rsid w:val="005D121D"/>
    <w:rsid w:val="005E785B"/>
    <w:rsid w:val="005F02A6"/>
    <w:rsid w:val="0062404D"/>
    <w:rsid w:val="00642C28"/>
    <w:rsid w:val="006472AF"/>
    <w:rsid w:val="00650E2D"/>
    <w:rsid w:val="00694A91"/>
    <w:rsid w:val="006A070D"/>
    <w:rsid w:val="006C35A9"/>
    <w:rsid w:val="006C4912"/>
    <w:rsid w:val="006C6F86"/>
    <w:rsid w:val="006D5A04"/>
    <w:rsid w:val="00704BF9"/>
    <w:rsid w:val="00712569"/>
    <w:rsid w:val="00716E20"/>
    <w:rsid w:val="00732BBF"/>
    <w:rsid w:val="00734563"/>
    <w:rsid w:val="00761D00"/>
    <w:rsid w:val="00765B9F"/>
    <w:rsid w:val="007717B7"/>
    <w:rsid w:val="00782CE9"/>
    <w:rsid w:val="007961CD"/>
    <w:rsid w:val="007E5FF2"/>
    <w:rsid w:val="00812F87"/>
    <w:rsid w:val="0081360B"/>
    <w:rsid w:val="008468D3"/>
    <w:rsid w:val="00854095"/>
    <w:rsid w:val="00886AE7"/>
    <w:rsid w:val="00890D46"/>
    <w:rsid w:val="00894035"/>
    <w:rsid w:val="008D17B4"/>
    <w:rsid w:val="008E7233"/>
    <w:rsid w:val="008F52CE"/>
    <w:rsid w:val="008F5314"/>
    <w:rsid w:val="0092448E"/>
    <w:rsid w:val="00994206"/>
    <w:rsid w:val="009A3C84"/>
    <w:rsid w:val="009B2641"/>
    <w:rsid w:val="009B4736"/>
    <w:rsid w:val="009D53AD"/>
    <w:rsid w:val="00A01736"/>
    <w:rsid w:val="00A12D14"/>
    <w:rsid w:val="00A154C2"/>
    <w:rsid w:val="00AC366D"/>
    <w:rsid w:val="00AE4133"/>
    <w:rsid w:val="00AE54F3"/>
    <w:rsid w:val="00B00154"/>
    <w:rsid w:val="00B044C9"/>
    <w:rsid w:val="00B244A6"/>
    <w:rsid w:val="00B2501C"/>
    <w:rsid w:val="00B47F3A"/>
    <w:rsid w:val="00B52396"/>
    <w:rsid w:val="00B526CA"/>
    <w:rsid w:val="00B56768"/>
    <w:rsid w:val="00B60E49"/>
    <w:rsid w:val="00B825AD"/>
    <w:rsid w:val="00B867FA"/>
    <w:rsid w:val="00BB4664"/>
    <w:rsid w:val="00BE28E7"/>
    <w:rsid w:val="00BE3553"/>
    <w:rsid w:val="00BF793C"/>
    <w:rsid w:val="00BF7C26"/>
    <w:rsid w:val="00C041D4"/>
    <w:rsid w:val="00C44C56"/>
    <w:rsid w:val="00C46B27"/>
    <w:rsid w:val="00C65CF3"/>
    <w:rsid w:val="00C8347C"/>
    <w:rsid w:val="00C91498"/>
    <w:rsid w:val="00CD036B"/>
    <w:rsid w:val="00D02BF2"/>
    <w:rsid w:val="00D30F45"/>
    <w:rsid w:val="00D76A4D"/>
    <w:rsid w:val="00D85F8D"/>
    <w:rsid w:val="00DC7F90"/>
    <w:rsid w:val="00DE11BF"/>
    <w:rsid w:val="00DF5A33"/>
    <w:rsid w:val="00E04FA8"/>
    <w:rsid w:val="00E14EE6"/>
    <w:rsid w:val="00E27A94"/>
    <w:rsid w:val="00ED024B"/>
    <w:rsid w:val="00ED3BFC"/>
    <w:rsid w:val="00EF2A30"/>
    <w:rsid w:val="00F136AF"/>
    <w:rsid w:val="00F22F56"/>
    <w:rsid w:val="00F24435"/>
    <w:rsid w:val="00F3733E"/>
    <w:rsid w:val="00F563CC"/>
    <w:rsid w:val="00F62C0F"/>
    <w:rsid w:val="00F65BF9"/>
    <w:rsid w:val="00F67326"/>
    <w:rsid w:val="00F7238E"/>
    <w:rsid w:val="00FD0E86"/>
    <w:rsid w:val="02433E45"/>
    <w:rsid w:val="039C5442"/>
    <w:rsid w:val="06875FB9"/>
    <w:rsid w:val="07A5520D"/>
    <w:rsid w:val="0A296EA7"/>
    <w:rsid w:val="13451652"/>
    <w:rsid w:val="1CEB5AA1"/>
    <w:rsid w:val="1D9F3D85"/>
    <w:rsid w:val="1E967206"/>
    <w:rsid w:val="1F2A1FFE"/>
    <w:rsid w:val="232F19D7"/>
    <w:rsid w:val="2AD57308"/>
    <w:rsid w:val="39900FC9"/>
    <w:rsid w:val="3D2D6B2F"/>
    <w:rsid w:val="3DC21891"/>
    <w:rsid w:val="3E1C107E"/>
    <w:rsid w:val="4B047121"/>
    <w:rsid w:val="4E3C6BD2"/>
    <w:rsid w:val="507E1724"/>
    <w:rsid w:val="55144405"/>
    <w:rsid w:val="57364B06"/>
    <w:rsid w:val="59B166C6"/>
    <w:rsid w:val="5B4B35D6"/>
    <w:rsid w:val="5CB26332"/>
    <w:rsid w:val="64C00105"/>
    <w:rsid w:val="66F5509E"/>
    <w:rsid w:val="68534DEC"/>
    <w:rsid w:val="68D5610D"/>
    <w:rsid w:val="6F92618F"/>
    <w:rsid w:val="755333E0"/>
    <w:rsid w:val="78275170"/>
    <w:rsid w:val="7B65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7"/>
    <w:semiHidden/>
    <w:unhideWhenUsed/>
    <w:uiPriority w:val="99"/>
    <w:pPr>
      <w:jc w:val="left"/>
    </w:pPr>
  </w:style>
  <w:style w:type="paragraph" w:styleId="3">
    <w:name w:val="Balloon Text"/>
    <w:basedOn w:val="1"/>
    <w:link w:val="16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8"/>
    <w:semiHidden/>
    <w:unhideWhenUsed/>
    <w:qFormat/>
    <w:uiPriority w:val="99"/>
    <w:rPr>
      <w:b/>
      <w:bCs/>
    </w:rPr>
  </w:style>
  <w:style w:type="table" w:styleId="8">
    <w:name w:val="Table Grid"/>
    <w:basedOn w:val="7"/>
    <w:qFormat/>
    <w:uiPriority w:val="59"/>
    <w:rPr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0">
    <w:name w:val="Emphasis"/>
    <w:qFormat/>
    <w:uiPriority w:val="0"/>
    <w:rPr>
      <w:rFonts w:eastAsia="楷体"/>
      <w:iCs/>
      <w:sz w:val="24"/>
    </w:rPr>
  </w:style>
  <w:style w:type="character" w:styleId="11">
    <w:name w:val="annotation reference"/>
    <w:basedOn w:val="9"/>
    <w:semiHidden/>
    <w:unhideWhenUsed/>
    <w:qFormat/>
    <w:uiPriority w:val="99"/>
    <w:rPr>
      <w:sz w:val="21"/>
      <w:szCs w:val="21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页眉 字符"/>
    <w:basedOn w:val="9"/>
    <w:link w:val="5"/>
    <w:uiPriority w:val="99"/>
    <w:rPr>
      <w:kern w:val="2"/>
      <w:sz w:val="18"/>
      <w:szCs w:val="18"/>
    </w:rPr>
  </w:style>
  <w:style w:type="character" w:customStyle="1" w:styleId="14">
    <w:name w:val="页脚 字符"/>
    <w:basedOn w:val="9"/>
    <w:link w:val="4"/>
    <w:qFormat/>
    <w:uiPriority w:val="99"/>
    <w:rPr>
      <w:kern w:val="2"/>
      <w:sz w:val="18"/>
      <w:szCs w:val="18"/>
    </w:rPr>
  </w:style>
  <w:style w:type="paragraph" w:customStyle="1" w:styleId="15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16">
    <w:name w:val="批注框文本 字符"/>
    <w:basedOn w:val="9"/>
    <w:link w:val="3"/>
    <w:semiHidden/>
    <w:qFormat/>
    <w:uiPriority w:val="99"/>
    <w:rPr>
      <w:kern w:val="2"/>
      <w:sz w:val="18"/>
      <w:szCs w:val="18"/>
    </w:rPr>
  </w:style>
  <w:style w:type="character" w:customStyle="1" w:styleId="17">
    <w:name w:val="批注文字 字符"/>
    <w:basedOn w:val="9"/>
    <w:link w:val="2"/>
    <w:semiHidden/>
    <w:qFormat/>
    <w:uiPriority w:val="99"/>
    <w:rPr>
      <w:kern w:val="2"/>
      <w:sz w:val="21"/>
      <w:szCs w:val="22"/>
    </w:rPr>
  </w:style>
  <w:style w:type="character" w:customStyle="1" w:styleId="18">
    <w:name w:val="批注主题 字符"/>
    <w:basedOn w:val="17"/>
    <w:link w:val="6"/>
    <w:semiHidden/>
    <w:qFormat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2411</Words>
  <Characters>3124</Characters>
  <Lines>23</Lines>
  <Paragraphs>6</Paragraphs>
  <TotalTime>3412</TotalTime>
  <ScaleCrop>false</ScaleCrop>
  <LinksUpToDate>false</LinksUpToDate>
  <CharactersWithSpaces>3221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2024-05-06T01:01:00Z</dcterms:created>
  <dc:creator>金桐 杨</dc:creator>
  <cp:lastModifiedBy>段池</cp:lastModifiedBy>
  <dcterms:modified xsi:type="dcterms:W3CDTF">2026-03-12T01:48:40Z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68D5C4533AE84E1CAB0FCD72AAC263FD_13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