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88966F">
      <w:pPr>
        <w:jc w:val="center"/>
        <w:rPr>
          <w:rFonts w:ascii="黑体" w:hAnsi="黑体" w:eastAsia="黑体" w:cs="Times New Roman"/>
          <w:b/>
          <w:bCs/>
          <w:sz w:val="28"/>
          <w:szCs w:val="28"/>
        </w:rPr>
      </w:pPr>
      <w:bookmarkStart w:id="0" w:name="_Toc163474055"/>
      <w:r>
        <w:rPr>
          <w:rFonts w:hint="eastAsia" w:ascii="黑体" w:hAnsi="黑体" w:eastAsia="黑体" w:cs="Times New Roman"/>
          <w:b/>
          <w:bCs/>
          <w:sz w:val="28"/>
          <w:szCs w:val="28"/>
        </w:rPr>
        <w:t>2026年研究生教室提质改造项目</w:t>
      </w:r>
    </w:p>
    <w:p w14:paraId="59002206">
      <w:pPr>
        <w:jc w:val="center"/>
        <w:rPr>
          <w:rFonts w:ascii="黑体" w:hAnsi="黑体" w:eastAsia="黑体" w:cs="Times New Roman"/>
          <w:b/>
          <w:bCs/>
          <w:sz w:val="28"/>
          <w:szCs w:val="28"/>
        </w:rPr>
      </w:pPr>
      <w:r>
        <w:rPr>
          <w:rFonts w:hint="eastAsia" w:ascii="黑体" w:hAnsi="黑体" w:eastAsia="黑体" w:cs="Times New Roman"/>
          <w:b/>
          <w:bCs/>
          <w:sz w:val="28"/>
          <w:szCs w:val="28"/>
        </w:rPr>
        <w:t>(补充采购)商务</w:t>
      </w:r>
      <w:r>
        <w:rPr>
          <w:rFonts w:ascii="黑体" w:hAnsi="黑体" w:eastAsia="黑体" w:cs="Times New Roman"/>
          <w:b/>
          <w:bCs/>
          <w:sz w:val="28"/>
          <w:szCs w:val="28"/>
        </w:rPr>
        <w:t>要求</w:t>
      </w:r>
      <w:bookmarkEnd w:id="0"/>
    </w:p>
    <w:p w14:paraId="75262A33">
      <w:pPr>
        <w:shd w:val="clear" w:color="auto" w:fill="FFFFFF"/>
        <w:spacing w:line="360" w:lineRule="auto"/>
        <w:ind w:firstLine="420" w:firstLineChars="200"/>
        <w:jc w:val="left"/>
        <w:rPr>
          <w:rFonts w:ascii="Times New Roman" w:hAnsi="Times New Roman" w:eastAsia="宋体" w:cs="Times New Roman"/>
          <w:szCs w:val="21"/>
        </w:rPr>
      </w:pPr>
      <w:r>
        <w:rPr>
          <w:rFonts w:hint="eastAsia" w:ascii="Times New Roman" w:hAnsi="Times New Roman" w:eastAsia="宋体" w:cs="Times New Roman"/>
          <w:szCs w:val="21"/>
        </w:rPr>
        <w:t>1、交货要求和付款方式</w:t>
      </w:r>
    </w:p>
    <w:p w14:paraId="542DE78E">
      <w:pPr>
        <w:numPr>
          <w:ilvl w:val="0"/>
          <w:numId w:val="1"/>
        </w:numPr>
        <w:shd w:val="clear" w:color="auto" w:fill="FFFFFF"/>
        <w:spacing w:line="360" w:lineRule="auto"/>
        <w:jc w:val="left"/>
        <w:rPr>
          <w:rFonts w:ascii="Times New Roman" w:hAnsi="Times New Roman" w:eastAsia="宋体" w:cs="Times New Roman"/>
          <w:szCs w:val="21"/>
        </w:rPr>
      </w:pPr>
      <w:r>
        <w:rPr>
          <w:rFonts w:hint="eastAsia" w:ascii="Times New Roman" w:hAnsi="Times New Roman" w:eastAsia="宋体" w:cs="Times New Roman"/>
          <w:szCs w:val="21"/>
        </w:rPr>
        <w:t>交货时间：合同签订后20个工作日内交货，并安装调试合格。</w:t>
      </w:r>
    </w:p>
    <w:p w14:paraId="00190456">
      <w:pPr>
        <w:numPr>
          <w:ilvl w:val="0"/>
          <w:numId w:val="1"/>
        </w:numPr>
        <w:shd w:val="clear" w:color="auto" w:fill="FFFFFF"/>
        <w:spacing w:line="360" w:lineRule="auto"/>
        <w:jc w:val="left"/>
        <w:rPr>
          <w:rFonts w:ascii="Times New Roman" w:hAnsi="Times New Roman" w:eastAsia="宋体" w:cs="Times New Roman"/>
          <w:szCs w:val="21"/>
        </w:rPr>
      </w:pPr>
      <w:r>
        <w:rPr>
          <w:rFonts w:hint="eastAsia" w:ascii="Times New Roman" w:hAnsi="Times New Roman" w:eastAsia="宋体" w:cs="Times New Roman"/>
          <w:szCs w:val="21"/>
        </w:rPr>
        <w:t>交货地点：中南大学。</w:t>
      </w:r>
    </w:p>
    <w:p w14:paraId="5AC8113C">
      <w:pPr>
        <w:numPr>
          <w:ilvl w:val="0"/>
          <w:numId w:val="1"/>
        </w:numPr>
        <w:shd w:val="clear" w:color="auto" w:fill="FFFFFF"/>
        <w:spacing w:line="360" w:lineRule="auto"/>
        <w:jc w:val="left"/>
        <w:rPr>
          <w:rFonts w:ascii="Times New Roman" w:hAnsi="Times New Roman" w:eastAsia="宋体" w:cs="Times New Roman"/>
          <w:szCs w:val="21"/>
        </w:rPr>
      </w:pPr>
      <w:r>
        <w:rPr>
          <w:rFonts w:hint="eastAsia" w:ascii="Times New Roman" w:hAnsi="Times New Roman" w:eastAsia="宋体" w:cs="Times New Roman"/>
          <w:szCs w:val="21"/>
        </w:rPr>
        <w:t>付款要求：合同签订后15个工作日内，甲方支付合同金额30%作预付款。项目整体验收合格后20个工作日内，乙方将合同金额的5%付至甲方指定的账号作为项目履约保证金。甲方向乙方一次性支付70%合同金额款，</w:t>
      </w:r>
      <w:r>
        <w:rPr>
          <w:rFonts w:hint="eastAsia" w:ascii="Times New Roman" w:hAnsi="Times New Roman" w:eastAsia="宋体" w:cs="Times New Roman"/>
          <w:szCs w:val="21"/>
          <w:highlight w:val="none"/>
          <w:shd w:val="clear" w:color="auto" w:fill="auto"/>
        </w:rPr>
        <w:t>履约保证金</w:t>
      </w:r>
      <w:r>
        <w:rPr>
          <w:rFonts w:hint="eastAsia" w:ascii="Times New Roman" w:hAnsi="Times New Roman" w:eastAsia="宋体" w:cs="Times New Roman"/>
          <w:szCs w:val="21"/>
        </w:rPr>
        <w:t>验收合格一年期满后一次性无息退还给乙方。甲方凭乙方提供的等额、法定增值税发票，向乙方付款。乙方延期提供发票，则甲方付款时间相应顺延。</w:t>
      </w:r>
    </w:p>
    <w:p w14:paraId="484A1B44">
      <w:pPr>
        <w:shd w:val="clear" w:color="auto" w:fill="FFFFFF"/>
        <w:spacing w:line="360" w:lineRule="auto"/>
        <w:ind w:firstLine="420" w:firstLineChars="200"/>
        <w:jc w:val="left"/>
        <w:rPr>
          <w:rFonts w:ascii="Times New Roman" w:hAnsi="Times New Roman" w:eastAsia="宋体" w:cs="Times New Roman"/>
          <w:szCs w:val="21"/>
        </w:rPr>
      </w:pPr>
      <w:r>
        <w:rPr>
          <w:rFonts w:hint="eastAsia" w:ascii="Times New Roman" w:hAnsi="Times New Roman" w:eastAsia="宋体" w:cs="Times New Roman"/>
          <w:szCs w:val="21"/>
        </w:rPr>
        <w:t>2、验收标准、质量保证</w:t>
      </w:r>
    </w:p>
    <w:p w14:paraId="5E04D977">
      <w:pPr>
        <w:numPr>
          <w:ilvl w:val="0"/>
          <w:numId w:val="2"/>
        </w:numPr>
        <w:shd w:val="clear" w:color="auto" w:fill="FFFFFF"/>
        <w:spacing w:line="360" w:lineRule="auto"/>
        <w:jc w:val="left"/>
        <w:rPr>
          <w:rFonts w:ascii="Times New Roman" w:hAnsi="Times New Roman" w:eastAsia="宋体" w:cs="Times New Roman"/>
          <w:szCs w:val="21"/>
        </w:rPr>
      </w:pPr>
      <w:r>
        <w:rPr>
          <w:rFonts w:hint="eastAsia" w:ascii="Times New Roman" w:hAnsi="Times New Roman" w:eastAsia="宋体" w:cs="Times New Roman"/>
          <w:szCs w:val="21"/>
        </w:rPr>
        <w:t>投标时，</w:t>
      </w:r>
      <w:r>
        <w:rPr>
          <w:rFonts w:hint="eastAsia" w:ascii="Times New Roman" w:hAnsi="Times New Roman" w:eastAsia="宋体" w:cs="Times New Roman"/>
          <w:b/>
          <w:bCs/>
          <w:szCs w:val="21"/>
        </w:rPr>
        <w:t>备注所投设备产品出厂时铭牌标注的实际名称</w:t>
      </w:r>
      <w:r>
        <w:rPr>
          <w:rFonts w:hint="eastAsia" w:ascii="Times New Roman" w:hAnsi="Times New Roman" w:eastAsia="宋体" w:cs="Times New Roman"/>
          <w:szCs w:val="21"/>
        </w:rPr>
        <w:t>。中标人提供的产品应是原装正品，符合国家质量检测标准，具有出厂证明文件或国家鉴定合格证明文件。</w:t>
      </w:r>
    </w:p>
    <w:p w14:paraId="7B179B4B">
      <w:pPr>
        <w:numPr>
          <w:ilvl w:val="0"/>
          <w:numId w:val="2"/>
        </w:numPr>
        <w:shd w:val="clear" w:color="auto" w:fill="FFFFFF"/>
        <w:spacing w:line="360" w:lineRule="auto"/>
        <w:jc w:val="left"/>
        <w:rPr>
          <w:rFonts w:ascii="Times New Roman" w:hAnsi="Times New Roman" w:eastAsia="宋体" w:cs="Times New Roman"/>
          <w:szCs w:val="21"/>
        </w:rPr>
      </w:pPr>
      <w:r>
        <w:rPr>
          <w:rFonts w:hint="eastAsia" w:ascii="Times New Roman" w:hAnsi="Times New Roman" w:eastAsia="宋体" w:cs="Times New Roman"/>
          <w:szCs w:val="21"/>
        </w:rPr>
        <w:t>验收标准：原厂原包装，包装完好，设备外观无损；满足招标文件要求，符合用户使用的实际需求；设备清单与投标文件一致，技术参数按投标文件对应；实际使用后，运行稳定。</w:t>
      </w:r>
    </w:p>
    <w:p w14:paraId="53AD901E">
      <w:pPr>
        <w:numPr>
          <w:ilvl w:val="0"/>
          <w:numId w:val="2"/>
        </w:numPr>
        <w:shd w:val="clear" w:color="auto" w:fill="FFFFFF"/>
        <w:spacing w:line="360" w:lineRule="auto"/>
        <w:jc w:val="left"/>
        <w:rPr>
          <w:rFonts w:ascii="Times New Roman" w:hAnsi="Times New Roman" w:eastAsia="宋体" w:cs="Times New Roman"/>
          <w:szCs w:val="21"/>
        </w:rPr>
      </w:pPr>
      <w:r>
        <w:rPr>
          <w:rFonts w:hint="eastAsia" w:ascii="Times New Roman" w:hAnsi="Times New Roman" w:eastAsia="宋体" w:cs="Times New Roman"/>
          <w:szCs w:val="21"/>
        </w:rPr>
        <w:t>项目验收国家有强制性规定的，按国家规定执行。验收过程中产生纠纷的，由质量技术监督部门认定的检测机构检测，如为中标人原因造成的，由中标人承担检测费用；否则，由采购人承担。项目验收不合格，由中标人返工直至合格，有关返工、再行验收，以及给采购人造成的损失等费用由中标人承担。连续两次项目验收不合格的，采购人可终止合同，另行按规定选择其他供应商采购，由此带来的一切损失由中标人承担。</w:t>
      </w:r>
    </w:p>
    <w:p w14:paraId="447EC31D">
      <w:pPr>
        <w:numPr>
          <w:ilvl w:val="0"/>
          <w:numId w:val="2"/>
        </w:numPr>
        <w:shd w:val="clear" w:color="auto" w:fill="FFFFFF"/>
        <w:spacing w:line="360" w:lineRule="auto"/>
        <w:jc w:val="left"/>
        <w:rPr>
          <w:rFonts w:ascii="Times New Roman" w:hAnsi="Times New Roman" w:eastAsia="宋体" w:cs="Times New Roman"/>
          <w:szCs w:val="21"/>
        </w:rPr>
      </w:pPr>
      <w:r>
        <w:rPr>
          <w:rFonts w:hint="eastAsia" w:ascii="Times New Roman" w:hAnsi="Times New Roman" w:eastAsia="宋体" w:cs="Times New Roman"/>
          <w:szCs w:val="21"/>
        </w:rPr>
        <w:t>免费质保期：所有软硬件设备（含软件系统）免费质保六年，中标人承诺的质保期长于招标文件规定时，以中标人的投标文件为准。超出生产厂家正常保修范围的，中标人需向生产厂家单独购买的，不能在投标报价中单独列支。生产厂家质保期优于招标文件规定的，按生产厂家的质保承诺提供质保服务。</w:t>
      </w:r>
    </w:p>
    <w:p w14:paraId="4E0FFECF">
      <w:pPr>
        <w:numPr>
          <w:ilvl w:val="0"/>
          <w:numId w:val="2"/>
        </w:numPr>
        <w:shd w:val="clear" w:color="auto" w:fill="FFFFFF"/>
        <w:spacing w:line="360" w:lineRule="auto"/>
        <w:jc w:val="left"/>
        <w:rPr>
          <w:rFonts w:ascii="Times New Roman" w:hAnsi="Times New Roman" w:eastAsia="宋体" w:cs="Times New Roman"/>
          <w:szCs w:val="21"/>
        </w:rPr>
      </w:pPr>
      <w:r>
        <w:rPr>
          <w:rFonts w:hint="eastAsia" w:ascii="Times New Roman" w:hAnsi="Times New Roman" w:eastAsia="宋体" w:cs="Times New Roman"/>
          <w:szCs w:val="21"/>
        </w:rPr>
        <w:t>质保内免费上门保修更换，质保期自设备安装结束，验收合格后正常运行时开始计算。超出免费质保期后，乙方支持终身维修，承诺维修时只收取部件的实际成本费。</w:t>
      </w:r>
    </w:p>
    <w:p w14:paraId="56AF2BC8">
      <w:pPr>
        <w:shd w:val="clear" w:color="auto" w:fill="FFFFFF"/>
        <w:spacing w:line="360" w:lineRule="auto"/>
        <w:ind w:firstLine="420" w:firstLineChars="200"/>
        <w:jc w:val="left"/>
        <w:rPr>
          <w:rFonts w:ascii="Times New Roman" w:hAnsi="Times New Roman" w:eastAsia="宋体" w:cs="Times New Roman"/>
          <w:szCs w:val="21"/>
        </w:rPr>
      </w:pPr>
      <w:r>
        <w:rPr>
          <w:rFonts w:hint="eastAsia" w:ascii="Times New Roman" w:hAnsi="Times New Roman" w:eastAsia="宋体" w:cs="Times New Roman"/>
          <w:szCs w:val="21"/>
        </w:rPr>
        <w:t>3、售后服务</w:t>
      </w:r>
    </w:p>
    <w:p w14:paraId="192F76AB">
      <w:pPr>
        <w:numPr>
          <w:ilvl w:val="0"/>
          <w:numId w:val="3"/>
        </w:numPr>
        <w:shd w:val="clear" w:color="auto" w:fill="FFFFFF"/>
        <w:spacing w:line="360" w:lineRule="auto"/>
        <w:jc w:val="left"/>
        <w:rPr>
          <w:rFonts w:ascii="Times New Roman" w:hAnsi="Times New Roman" w:eastAsia="宋体" w:cs="Times New Roman"/>
          <w:szCs w:val="21"/>
        </w:rPr>
      </w:pPr>
      <w:r>
        <w:rPr>
          <w:rFonts w:hint="eastAsia" w:ascii="Times New Roman" w:hAnsi="Times New Roman" w:eastAsia="宋体" w:cs="Times New Roman"/>
          <w:szCs w:val="21"/>
        </w:rPr>
        <w:t>服务响应时间要求：提供7×24小时的技术咨询服务，敏感时期、重大节假日提供技术人员值守服务；提供7×24小时的故障服务受理，对重大故障提供7×24小时的现场支援，一般故障提供5×8小时/2小时内现场支援，提出解决方案，并于2小时内修复，若现场不能修复应提供同等性能备用设备。</w:t>
      </w:r>
    </w:p>
    <w:p w14:paraId="4CE83DE2">
      <w:pPr>
        <w:numPr>
          <w:ilvl w:val="0"/>
          <w:numId w:val="3"/>
        </w:numPr>
        <w:shd w:val="clear" w:color="auto" w:fill="FFFFFF"/>
        <w:spacing w:line="360" w:lineRule="auto"/>
        <w:jc w:val="left"/>
        <w:rPr>
          <w:rFonts w:ascii="Times New Roman" w:hAnsi="Times New Roman" w:eastAsia="宋体" w:cs="Times New Roman"/>
          <w:szCs w:val="21"/>
        </w:rPr>
      </w:pPr>
      <w:r>
        <w:rPr>
          <w:rFonts w:hint="eastAsia" w:ascii="Times New Roman" w:hAnsi="Times New Roman" w:eastAsia="宋体" w:cs="Times New Roman"/>
          <w:szCs w:val="21"/>
        </w:rPr>
        <w:t>质保期内出现任何质量问题（人为破坏或自然灾害等不可抗力除外），由中标人负责全免费（免全部工时费、材料费、管理费、财务费等）更换或维修。质保期满后，无论采购人是否另行选择维保供应商，中标人应及时优惠提供所需的备品备件。</w:t>
      </w:r>
    </w:p>
    <w:p w14:paraId="049AF70C">
      <w:pPr>
        <w:numPr>
          <w:ilvl w:val="0"/>
          <w:numId w:val="3"/>
        </w:numPr>
        <w:shd w:val="clear" w:color="auto" w:fill="FFFFFF"/>
        <w:spacing w:line="360" w:lineRule="auto"/>
        <w:jc w:val="left"/>
        <w:rPr>
          <w:rFonts w:ascii="Times New Roman" w:hAnsi="Times New Roman" w:eastAsia="宋体" w:cs="Times New Roman"/>
          <w:szCs w:val="21"/>
        </w:rPr>
      </w:pPr>
      <w:r>
        <w:rPr>
          <w:rFonts w:hint="eastAsia" w:ascii="Times New Roman" w:hAnsi="Times New Roman" w:eastAsia="宋体" w:cs="Times New Roman"/>
          <w:szCs w:val="21"/>
        </w:rPr>
        <w:t>要求中标人配有专业维修工程师，保证提供及时优质的售后服务。生产厂家在中国应具有备件库，它将包含设备重要的备品备件，一般在备件库中储备的配件问题在7个工作日内解决，如需要由海外总厂或海外备件中心空运零配件，交货时间不得超过28天。采购人有权要求误期赔偿费，每天赔偿费按该中标仪器故障出现前6个月的平均日工作量对应价值计收，直至交货为止。</w:t>
      </w:r>
    </w:p>
    <w:p w14:paraId="48044912">
      <w:pPr>
        <w:numPr>
          <w:ilvl w:val="0"/>
          <w:numId w:val="3"/>
        </w:numPr>
        <w:shd w:val="clear" w:color="auto" w:fill="FFFFFF"/>
        <w:spacing w:line="360" w:lineRule="auto"/>
        <w:jc w:val="left"/>
        <w:rPr>
          <w:rFonts w:ascii="Times New Roman" w:hAnsi="Times New Roman" w:eastAsia="宋体" w:cs="Times New Roman"/>
          <w:szCs w:val="21"/>
        </w:rPr>
      </w:pPr>
      <w:r>
        <w:rPr>
          <w:rFonts w:hint="eastAsia" w:ascii="Times New Roman" w:hAnsi="Times New Roman" w:eastAsia="宋体" w:cs="Times New Roman"/>
          <w:szCs w:val="21"/>
        </w:rPr>
        <w:t>同批设备中，若同一台设备类似故障发生两次以上，或者多台设备出现大面积相同故障现象，无条件免费更换涉及的整机。</w:t>
      </w:r>
    </w:p>
    <w:p w14:paraId="67741CD7">
      <w:pPr>
        <w:numPr>
          <w:ilvl w:val="0"/>
          <w:numId w:val="3"/>
        </w:numPr>
        <w:shd w:val="clear" w:color="auto" w:fill="FFFFFF"/>
        <w:spacing w:line="360" w:lineRule="auto"/>
        <w:jc w:val="left"/>
        <w:rPr>
          <w:rFonts w:ascii="Times New Roman" w:hAnsi="Times New Roman" w:eastAsia="宋体" w:cs="Times New Roman"/>
          <w:szCs w:val="21"/>
        </w:rPr>
      </w:pPr>
      <w:r>
        <w:rPr>
          <w:rFonts w:hint="eastAsia" w:ascii="Times New Roman" w:hAnsi="Times New Roman" w:eastAsia="宋体" w:cs="Times New Roman"/>
          <w:szCs w:val="21"/>
        </w:rPr>
        <w:t>配件及耗材要求：所有新设备、利旧设备安装时除原机配件以外，如还需辅材配件及耗材，由中标人免费提供。</w:t>
      </w:r>
    </w:p>
    <w:p w14:paraId="6C83541F">
      <w:pPr>
        <w:numPr>
          <w:ilvl w:val="0"/>
          <w:numId w:val="3"/>
        </w:numPr>
        <w:shd w:val="clear" w:color="auto" w:fill="FFFFFF"/>
        <w:spacing w:line="360" w:lineRule="auto"/>
        <w:jc w:val="left"/>
        <w:rPr>
          <w:rFonts w:ascii="Times New Roman" w:hAnsi="Times New Roman" w:eastAsia="宋体" w:cs="Times New Roman"/>
          <w:szCs w:val="21"/>
        </w:rPr>
      </w:pPr>
      <w:r>
        <w:rPr>
          <w:rFonts w:hint="eastAsia" w:ascii="Times New Roman" w:hAnsi="Times New Roman" w:eastAsia="宋体" w:cs="Times New Roman"/>
          <w:szCs w:val="21"/>
        </w:rPr>
        <w:t>必须具备良好的服务能力。服务要求：中标后需提供良好的本地化服务，接到报修，要求维修人员 2 小时以内解决故障。如因故不能按期完成保修任务时，应事先与用户协商征得用户同意，并临时提供同等性能设备替换，不能影响学校教学工作，否则有权追究违约责任。每学期需对设备系统进行例行检修保养三次（学期开始，期中，期末），后期若其他多媒体设备改造项目中涉及安装调试问题，本次中标公司需免费协助支持。</w:t>
      </w:r>
    </w:p>
    <w:p w14:paraId="053F184F">
      <w:pPr>
        <w:shd w:val="clear" w:color="auto" w:fill="FFFFFF"/>
        <w:spacing w:line="360" w:lineRule="auto"/>
        <w:ind w:firstLine="420" w:firstLineChars="200"/>
        <w:jc w:val="left"/>
        <w:rPr>
          <w:rFonts w:ascii="Times New Roman" w:hAnsi="Times New Roman" w:eastAsia="宋体" w:cs="Times New Roman"/>
          <w:szCs w:val="21"/>
        </w:rPr>
      </w:pPr>
      <w:r>
        <w:rPr>
          <w:rFonts w:hint="eastAsia" w:ascii="Times New Roman" w:hAnsi="Times New Roman" w:eastAsia="宋体" w:cs="Times New Roman"/>
          <w:szCs w:val="21"/>
        </w:rPr>
        <w:t>4、安装调试</w:t>
      </w:r>
    </w:p>
    <w:p w14:paraId="609449AB">
      <w:pPr>
        <w:numPr>
          <w:ilvl w:val="0"/>
          <w:numId w:val="4"/>
        </w:numPr>
        <w:shd w:val="clear" w:color="auto" w:fill="FFFFFF"/>
        <w:spacing w:line="360" w:lineRule="auto"/>
        <w:jc w:val="left"/>
        <w:rPr>
          <w:rFonts w:ascii="Times New Roman" w:hAnsi="Times New Roman" w:eastAsia="宋体" w:cs="Times New Roman"/>
          <w:szCs w:val="21"/>
        </w:rPr>
      </w:pPr>
      <w:r>
        <w:rPr>
          <w:rFonts w:hint="eastAsia" w:ascii="Times New Roman" w:hAnsi="Times New Roman" w:eastAsia="宋体" w:cs="Times New Roman"/>
          <w:szCs w:val="21"/>
        </w:rPr>
        <w:t>设备安装地点及备注见下表。</w:t>
      </w:r>
    </w:p>
    <w:tbl>
      <w:tblPr>
        <w:tblStyle w:val="14"/>
        <w:tblW w:w="4356" w:type="pct"/>
        <w:jc w:val="center"/>
        <w:tblLayout w:type="autofit"/>
        <w:tblCellMar>
          <w:top w:w="0" w:type="dxa"/>
          <w:left w:w="108" w:type="dxa"/>
          <w:bottom w:w="0" w:type="dxa"/>
          <w:right w:w="108" w:type="dxa"/>
        </w:tblCellMar>
      </w:tblPr>
      <w:tblGrid>
        <w:gridCol w:w="600"/>
        <w:gridCol w:w="3941"/>
        <w:gridCol w:w="2883"/>
      </w:tblGrid>
      <w:tr w14:paraId="4AF29156">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AFD17">
            <w:pPr>
              <w:widowControl/>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序号</w:t>
            </w:r>
          </w:p>
        </w:tc>
        <w:tc>
          <w:tcPr>
            <w:tcW w:w="2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C1845">
            <w:pPr>
              <w:widowControl/>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设备</w:t>
            </w:r>
          </w:p>
        </w:tc>
        <w:tc>
          <w:tcPr>
            <w:tcW w:w="1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C02C1">
            <w:pPr>
              <w:widowControl/>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安装地点</w:t>
            </w:r>
          </w:p>
        </w:tc>
      </w:tr>
      <w:tr w14:paraId="3F596EB6">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E6762">
            <w:pPr>
              <w:widowControl/>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w:t>
            </w:r>
          </w:p>
        </w:tc>
        <w:tc>
          <w:tcPr>
            <w:tcW w:w="2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0FDF4">
            <w:pPr>
              <w:widowControl/>
              <w:jc w:val="center"/>
              <w:textAlignment w:val="center"/>
              <w:rPr>
                <w:rFonts w:asciiTheme="minorEastAsia" w:hAnsiTheme="minorEastAsia" w:cstheme="minorEastAsia"/>
                <w:color w:val="000000"/>
                <w:szCs w:val="21"/>
              </w:rPr>
            </w:pPr>
            <w:r>
              <w:rPr>
                <w:rFonts w:hint="eastAsia" w:ascii="宋体" w:hAnsi="宋体" w:eastAsia="宋体" w:cs="宋体"/>
                <w:color w:val="000000"/>
                <w:kern w:val="0"/>
                <w:szCs w:val="21"/>
                <w:lang w:bidi="ar"/>
              </w:rPr>
              <w:t>电铃系统</w:t>
            </w:r>
          </w:p>
        </w:tc>
        <w:tc>
          <w:tcPr>
            <w:tcW w:w="19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6B744D">
            <w:pPr>
              <w:widowControl/>
              <w:jc w:val="center"/>
              <w:textAlignment w:val="center"/>
              <w:rPr>
                <w:rFonts w:hint="eastAsia" w:asciiTheme="minorEastAsia" w:hAnsiTheme="minorEastAsia" w:eastAsiaTheme="minorEastAsia" w:cstheme="minorEastAsia"/>
                <w:color w:val="000000"/>
                <w:szCs w:val="21"/>
                <w:lang w:eastAsia="zh-CN"/>
              </w:rPr>
            </w:pPr>
            <w:r>
              <w:rPr>
                <w:rFonts w:hint="eastAsia" w:asciiTheme="minorEastAsia" w:hAnsiTheme="minorEastAsia" w:cstheme="minorEastAsia"/>
                <w:color w:val="000000"/>
                <w:kern w:val="0"/>
                <w:szCs w:val="21"/>
                <w:lang w:val="en-US" w:eastAsia="zh-CN" w:bidi="ar"/>
              </w:rPr>
              <w:t>/</w:t>
            </w:r>
          </w:p>
        </w:tc>
      </w:tr>
      <w:tr w14:paraId="13970AE6">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9138E">
            <w:pPr>
              <w:widowControl/>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w:t>
            </w:r>
          </w:p>
        </w:tc>
        <w:tc>
          <w:tcPr>
            <w:tcW w:w="2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02DD0">
            <w:pPr>
              <w:widowControl/>
              <w:jc w:val="center"/>
              <w:textAlignment w:val="center"/>
              <w:rPr>
                <w:rFonts w:asciiTheme="minorEastAsia" w:hAnsiTheme="minorEastAsia" w:cstheme="minorEastAsia"/>
                <w:color w:val="000000"/>
                <w:szCs w:val="21"/>
              </w:rPr>
            </w:pPr>
            <w:r>
              <w:rPr>
                <w:rFonts w:hint="eastAsia" w:ascii="宋体" w:hAnsi="宋体" w:eastAsia="宋体" w:cs="宋体"/>
                <w:color w:val="000000"/>
                <w:kern w:val="0"/>
                <w:szCs w:val="21"/>
                <w:lang w:bidi="ar"/>
              </w:rPr>
              <w:t>主音箱</w:t>
            </w:r>
          </w:p>
        </w:tc>
        <w:tc>
          <w:tcPr>
            <w:tcW w:w="19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A6EBC">
            <w:pPr>
              <w:jc w:val="center"/>
              <w:rPr>
                <w:rFonts w:asciiTheme="minorEastAsia" w:hAnsiTheme="minorEastAsia" w:cstheme="minorEastAsia"/>
                <w:color w:val="000000"/>
                <w:szCs w:val="21"/>
              </w:rPr>
            </w:pPr>
          </w:p>
        </w:tc>
      </w:tr>
      <w:tr w14:paraId="55AFF7F7">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9E2E9">
            <w:pPr>
              <w:widowControl/>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w:t>
            </w:r>
          </w:p>
        </w:tc>
        <w:tc>
          <w:tcPr>
            <w:tcW w:w="2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2D7D0">
            <w:pPr>
              <w:widowControl/>
              <w:jc w:val="center"/>
              <w:textAlignment w:val="center"/>
              <w:rPr>
                <w:rFonts w:asciiTheme="minorEastAsia" w:hAnsiTheme="minorEastAsia" w:cstheme="minorEastAsia"/>
                <w:color w:val="000000"/>
                <w:szCs w:val="21"/>
              </w:rPr>
            </w:pPr>
            <w:r>
              <w:rPr>
                <w:rFonts w:hint="eastAsia" w:ascii="宋体" w:hAnsi="宋体" w:eastAsia="宋体" w:cs="宋体"/>
                <w:color w:val="000000"/>
                <w:kern w:val="0"/>
                <w:szCs w:val="21"/>
                <w:lang w:bidi="ar"/>
              </w:rPr>
              <w:t>副音箱</w:t>
            </w:r>
          </w:p>
        </w:tc>
        <w:tc>
          <w:tcPr>
            <w:tcW w:w="1941" w:type="pct"/>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2BAE383B">
            <w:pPr>
              <w:jc w:val="center"/>
              <w:rPr>
                <w:rFonts w:asciiTheme="minorEastAsia" w:hAnsiTheme="minorEastAsia" w:cstheme="minorEastAsia"/>
                <w:color w:val="000000"/>
                <w:szCs w:val="21"/>
              </w:rPr>
            </w:pPr>
          </w:p>
        </w:tc>
      </w:tr>
      <w:tr w14:paraId="4964B49C">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891F9">
            <w:pPr>
              <w:widowControl/>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w:t>
            </w:r>
          </w:p>
        </w:tc>
        <w:tc>
          <w:tcPr>
            <w:tcW w:w="2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4F617">
            <w:pPr>
              <w:jc w:val="center"/>
              <w:rPr>
                <w:rFonts w:asciiTheme="minorEastAsia" w:hAnsiTheme="minorEastAsia" w:cstheme="minorEastAsia"/>
                <w:color w:val="000000"/>
                <w:szCs w:val="21"/>
              </w:rPr>
            </w:pPr>
            <w:r>
              <w:rPr>
                <w:rFonts w:hint="eastAsia"/>
              </w:rPr>
              <w:t>98寸大屏幕交互式智能教学终端</w:t>
            </w:r>
          </w:p>
        </w:tc>
        <w:tc>
          <w:tcPr>
            <w:tcW w:w="1941" w:type="pct"/>
            <w:vMerge w:val="restart"/>
            <w:tcBorders>
              <w:top w:val="single" w:color="auto" w:sz="4" w:space="0"/>
              <w:left w:val="single" w:color="000000" w:sz="4" w:space="0"/>
              <w:right w:val="single" w:color="000000" w:sz="4" w:space="0"/>
            </w:tcBorders>
            <w:shd w:val="clear" w:color="auto" w:fill="auto"/>
            <w:vAlign w:val="center"/>
          </w:tcPr>
          <w:p w14:paraId="7CB1BB20">
            <w:pPr>
              <w:widowControl/>
              <w:jc w:val="center"/>
              <w:textAlignment w:val="center"/>
              <w:rPr>
                <w:rFonts w:asciiTheme="minorEastAsia" w:hAnsiTheme="minorEastAsia" w:cstheme="minorEastAsia"/>
                <w:color w:val="000000"/>
                <w:szCs w:val="21"/>
              </w:rPr>
            </w:pPr>
            <w:bookmarkStart w:id="1" w:name="_GoBack"/>
            <w:bookmarkEnd w:id="1"/>
            <w:r>
              <w:rPr>
                <w:rFonts w:hint="eastAsia" w:asciiTheme="minorEastAsia" w:hAnsiTheme="minorEastAsia" w:cstheme="minorEastAsia"/>
                <w:color w:val="000000"/>
                <w:szCs w:val="21"/>
              </w:rPr>
              <w:t>12间200平米以下教室，其中6间175平米的加装55寸辅屏</w:t>
            </w:r>
          </w:p>
        </w:tc>
      </w:tr>
      <w:tr w14:paraId="11164E27">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1936C">
            <w:pPr>
              <w:widowControl/>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5</w:t>
            </w:r>
          </w:p>
        </w:tc>
        <w:tc>
          <w:tcPr>
            <w:tcW w:w="2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16C68">
            <w:pPr>
              <w:spacing w:line="360" w:lineRule="auto"/>
              <w:jc w:val="center"/>
              <w:rPr>
                <w:rFonts w:asciiTheme="minorEastAsia" w:hAnsiTheme="minorEastAsia" w:cstheme="minorEastAsia"/>
                <w:color w:val="000000"/>
                <w:szCs w:val="21"/>
              </w:rPr>
            </w:pPr>
            <w:r>
              <w:rPr>
                <w:rFonts w:hint="eastAsia"/>
              </w:rPr>
              <w:t>55寸辅助显示屏</w:t>
            </w:r>
          </w:p>
        </w:tc>
        <w:tc>
          <w:tcPr>
            <w:tcW w:w="1941" w:type="pct"/>
            <w:vMerge w:val="continue"/>
            <w:tcBorders>
              <w:left w:val="single" w:color="000000" w:sz="4" w:space="0"/>
              <w:right w:val="single" w:color="000000" w:sz="4" w:space="0"/>
            </w:tcBorders>
            <w:shd w:val="clear" w:color="auto" w:fill="auto"/>
            <w:vAlign w:val="center"/>
          </w:tcPr>
          <w:p w14:paraId="521880E9">
            <w:pPr>
              <w:widowControl/>
              <w:jc w:val="center"/>
              <w:textAlignment w:val="center"/>
              <w:rPr>
                <w:rFonts w:asciiTheme="minorEastAsia" w:hAnsiTheme="minorEastAsia" w:cstheme="minorEastAsia"/>
                <w:color w:val="000000"/>
                <w:szCs w:val="21"/>
              </w:rPr>
            </w:pPr>
          </w:p>
        </w:tc>
      </w:tr>
      <w:tr w14:paraId="4D9CA288">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0EA0A">
            <w:pPr>
              <w:widowControl/>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6</w:t>
            </w:r>
          </w:p>
        </w:tc>
        <w:tc>
          <w:tcPr>
            <w:tcW w:w="2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F3A21">
            <w:pPr>
              <w:widowControl/>
              <w:jc w:val="center"/>
              <w:textAlignment w:val="center"/>
              <w:rPr>
                <w:rFonts w:asciiTheme="minorEastAsia" w:hAnsiTheme="minorEastAsia" w:cstheme="minorEastAsia"/>
                <w:color w:val="000000"/>
                <w:szCs w:val="21"/>
              </w:rPr>
            </w:pPr>
            <w:r>
              <w:rPr>
                <w:rFonts w:hint="eastAsia" w:ascii="宋体" w:hAnsi="宋体" w:cs="宋体"/>
                <w:color w:val="000000"/>
                <w:sz w:val="22"/>
              </w:rPr>
              <w:t>升降讲台</w:t>
            </w:r>
          </w:p>
        </w:tc>
        <w:tc>
          <w:tcPr>
            <w:tcW w:w="1941" w:type="pct"/>
            <w:vMerge w:val="continue"/>
            <w:tcBorders>
              <w:left w:val="single" w:color="000000" w:sz="4" w:space="0"/>
              <w:right w:val="single" w:color="000000" w:sz="4" w:space="0"/>
            </w:tcBorders>
            <w:shd w:val="clear" w:color="auto" w:fill="auto"/>
            <w:vAlign w:val="center"/>
          </w:tcPr>
          <w:p w14:paraId="7CC5DC2D">
            <w:pPr>
              <w:widowControl/>
              <w:jc w:val="center"/>
              <w:textAlignment w:val="center"/>
              <w:rPr>
                <w:rFonts w:asciiTheme="minorEastAsia" w:hAnsiTheme="minorEastAsia" w:cstheme="minorEastAsia"/>
                <w:color w:val="000000"/>
                <w:szCs w:val="21"/>
              </w:rPr>
            </w:pPr>
          </w:p>
        </w:tc>
      </w:tr>
      <w:tr w14:paraId="10C04255">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422BC">
            <w:pPr>
              <w:widowControl/>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7</w:t>
            </w:r>
          </w:p>
        </w:tc>
        <w:tc>
          <w:tcPr>
            <w:tcW w:w="2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54C47">
            <w:pPr>
              <w:widowControl/>
              <w:jc w:val="center"/>
              <w:textAlignment w:val="center"/>
              <w:rPr>
                <w:rFonts w:asciiTheme="minorEastAsia" w:hAnsiTheme="minorEastAsia" w:cstheme="minorEastAsia"/>
                <w:color w:val="000000"/>
                <w:szCs w:val="21"/>
              </w:rPr>
            </w:pPr>
            <w:r>
              <w:rPr>
                <w:rFonts w:hint="eastAsia"/>
              </w:rPr>
              <w:t>教室设备拆除与安装</w:t>
            </w:r>
          </w:p>
        </w:tc>
        <w:tc>
          <w:tcPr>
            <w:tcW w:w="1941" w:type="pct"/>
            <w:vMerge w:val="continue"/>
            <w:tcBorders>
              <w:left w:val="single" w:color="000000" w:sz="4" w:space="0"/>
              <w:bottom w:val="single" w:color="000000" w:sz="4" w:space="0"/>
              <w:right w:val="single" w:color="000000" w:sz="4" w:space="0"/>
            </w:tcBorders>
            <w:shd w:val="clear" w:color="auto" w:fill="auto"/>
            <w:vAlign w:val="center"/>
          </w:tcPr>
          <w:p w14:paraId="0CCC32A9">
            <w:pPr>
              <w:widowControl/>
              <w:jc w:val="center"/>
              <w:textAlignment w:val="center"/>
              <w:rPr>
                <w:rFonts w:asciiTheme="minorEastAsia" w:hAnsiTheme="minorEastAsia" w:cstheme="minorEastAsia"/>
                <w:color w:val="000000"/>
                <w:szCs w:val="21"/>
              </w:rPr>
            </w:pPr>
          </w:p>
        </w:tc>
      </w:tr>
      <w:tr w14:paraId="1CA9F2BC">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D6E8D">
            <w:pPr>
              <w:widowControl/>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8</w:t>
            </w:r>
          </w:p>
        </w:tc>
        <w:tc>
          <w:tcPr>
            <w:tcW w:w="2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6EF7E">
            <w:pPr>
              <w:widowControl/>
              <w:jc w:val="center"/>
              <w:textAlignment w:val="center"/>
              <w:rPr>
                <w:rFonts w:asciiTheme="minorEastAsia" w:hAnsiTheme="minorEastAsia" w:cstheme="minorEastAsia"/>
                <w:color w:val="000000"/>
                <w:szCs w:val="21"/>
              </w:rPr>
            </w:pPr>
            <w:r>
              <w:rPr>
                <w:rFonts w:hint="eastAsia"/>
              </w:rPr>
              <w:t>辅材</w:t>
            </w:r>
          </w:p>
        </w:tc>
        <w:tc>
          <w:tcPr>
            <w:tcW w:w="1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E6734">
            <w:pPr>
              <w:widowControl/>
              <w:jc w:val="center"/>
              <w:textAlignment w:val="center"/>
              <w:rPr>
                <w:rFonts w:asciiTheme="minorEastAsia" w:hAnsiTheme="minorEastAsia" w:cstheme="minorEastAsia"/>
                <w:color w:val="000000"/>
                <w:szCs w:val="21"/>
              </w:rPr>
            </w:pPr>
            <w:r>
              <w:rPr>
                <w:rFonts w:hint="eastAsia" w:asciiTheme="minorEastAsia" w:hAnsiTheme="minorEastAsia" w:cstheme="minorEastAsia"/>
                <w:szCs w:val="21"/>
              </w:rPr>
              <w:t>所有教室</w:t>
            </w:r>
          </w:p>
        </w:tc>
      </w:tr>
    </w:tbl>
    <w:p w14:paraId="3ED1DCA8">
      <w:pPr>
        <w:shd w:val="clear" w:color="auto" w:fill="FFFFFF"/>
        <w:spacing w:line="360" w:lineRule="auto"/>
        <w:ind w:firstLine="420" w:firstLineChars="200"/>
        <w:jc w:val="left"/>
        <w:rPr>
          <w:rFonts w:ascii="Times New Roman" w:hAnsi="Times New Roman" w:eastAsia="宋体" w:cs="Times New Roman"/>
          <w:szCs w:val="21"/>
        </w:rPr>
      </w:pPr>
    </w:p>
    <w:p w14:paraId="140AE204">
      <w:pPr>
        <w:numPr>
          <w:ilvl w:val="0"/>
          <w:numId w:val="4"/>
        </w:numPr>
        <w:shd w:val="clear" w:color="auto" w:fill="FFFFFF"/>
        <w:spacing w:line="360" w:lineRule="auto"/>
        <w:jc w:val="left"/>
        <w:rPr>
          <w:rFonts w:ascii="Times New Roman" w:hAnsi="Times New Roman" w:eastAsia="宋体" w:cs="Times New Roman"/>
          <w:szCs w:val="21"/>
        </w:rPr>
      </w:pPr>
      <w:r>
        <w:rPr>
          <w:rFonts w:hint="eastAsia" w:ascii="Times New Roman" w:hAnsi="Times New Roman" w:eastAsia="宋体" w:cs="Times New Roman"/>
          <w:szCs w:val="21"/>
        </w:rPr>
        <w:t>设备安装要求，按照国家相关行业规范标准进行免费安装，符合国家或行业质量检验标准。</w:t>
      </w:r>
    </w:p>
    <w:p w14:paraId="008D63C9">
      <w:pPr>
        <w:shd w:val="clear" w:color="auto" w:fill="FFFFFF"/>
        <w:spacing w:line="360" w:lineRule="auto"/>
        <w:ind w:left="420"/>
        <w:jc w:val="left"/>
        <w:rPr>
          <w:rFonts w:ascii="Times New Roman" w:hAnsi="Times New Roman" w:eastAsia="宋体" w:cs="Times New Roman"/>
          <w:szCs w:val="21"/>
        </w:rPr>
      </w:pPr>
      <w:r>
        <w:rPr>
          <w:rFonts w:hint="eastAsia" w:ascii="Times New Roman" w:hAnsi="Times New Roman" w:eastAsia="宋体" w:cs="Times New Roman"/>
          <w:szCs w:val="21"/>
        </w:rPr>
        <w:t xml:space="preserve">    中标人负责产品到实施地点的全部运输，包括装卸及现场搬运等，负责新购置和利旧设备（拆卸后待安装）在实施地点的保管，直至项目验收合格，中标人负责其派出的项目实施人员的人身意外保险。</w:t>
      </w:r>
    </w:p>
    <w:p w14:paraId="4B39CF90">
      <w:pPr>
        <w:shd w:val="clear" w:color="auto" w:fill="FFFFFF"/>
        <w:spacing w:line="360" w:lineRule="auto"/>
        <w:ind w:left="420"/>
        <w:jc w:val="left"/>
        <w:rPr>
          <w:rFonts w:ascii="Times New Roman" w:hAnsi="Times New Roman" w:eastAsia="宋体" w:cs="Times New Roman"/>
          <w:szCs w:val="21"/>
        </w:rPr>
      </w:pPr>
      <w:r>
        <w:rPr>
          <w:rFonts w:hint="eastAsia" w:ascii="Times New Roman" w:hAnsi="Times New Roman" w:eastAsia="宋体" w:cs="Times New Roman"/>
          <w:szCs w:val="21"/>
        </w:rPr>
        <w:t xml:space="preserve">    安装工期：合同签订后（接到甲方书面通知起）30个自然日内交货，并安装调试合格。</w:t>
      </w:r>
    </w:p>
    <w:p w14:paraId="03DCB457">
      <w:pPr>
        <w:shd w:val="clear" w:color="auto" w:fill="FFFFFF"/>
        <w:spacing w:line="360" w:lineRule="auto"/>
        <w:ind w:left="420" w:firstLine="420" w:firstLineChars="200"/>
        <w:jc w:val="left"/>
        <w:rPr>
          <w:rFonts w:ascii="Times New Roman" w:hAnsi="Times New Roman" w:eastAsia="宋体" w:cs="Times New Roman"/>
          <w:szCs w:val="21"/>
        </w:rPr>
      </w:pPr>
      <w:r>
        <w:rPr>
          <w:rFonts w:hint="eastAsia" w:ascii="Times New Roman" w:hAnsi="Times New Roman" w:eastAsia="宋体" w:cs="Times New Roman"/>
          <w:szCs w:val="21"/>
        </w:rPr>
        <w:t>安装要求：设备安装应符合教学实际需求，不能给实际教学带来不便，不能存在安全隐患。施工中需整理合并教室内所有线路（含原有多媒体设备、标准化考场、音频等线路）。所有吊顶内线路均需穿管敷设，每间教室需按实际走线做好线路连接图，并贴在讲台内。</w:t>
      </w:r>
    </w:p>
    <w:p w14:paraId="44FF1132">
      <w:pPr>
        <w:shd w:val="clear" w:color="auto" w:fill="FFFFFF"/>
        <w:spacing w:line="360" w:lineRule="auto"/>
        <w:ind w:left="420" w:firstLine="420" w:firstLineChars="200"/>
        <w:jc w:val="left"/>
        <w:rPr>
          <w:rFonts w:ascii="Times New Roman" w:hAnsi="Times New Roman" w:eastAsia="宋体" w:cs="Times New Roman"/>
          <w:szCs w:val="21"/>
        </w:rPr>
      </w:pPr>
      <w:r>
        <w:rPr>
          <w:rFonts w:hint="eastAsia" w:ascii="Times New Roman" w:hAnsi="Times New Roman" w:eastAsia="宋体" w:cs="Times New Roman"/>
          <w:szCs w:val="21"/>
        </w:rPr>
        <w:t>本项目包含所有安装费用：包含教室新设备的安装；旧设备的拆卸并搬运到指定地点并重新安装，拆卸中不得损坏设备，按设备清单清点签字交接。工程所涉及的具体教室及设备清单由用户提供。</w:t>
      </w:r>
    </w:p>
    <w:p w14:paraId="08438FB9">
      <w:pPr>
        <w:shd w:val="clear" w:color="auto" w:fill="FFFFFF"/>
        <w:spacing w:line="360" w:lineRule="auto"/>
        <w:ind w:left="420"/>
        <w:jc w:val="left"/>
        <w:rPr>
          <w:rFonts w:ascii="Times New Roman" w:hAnsi="Times New Roman" w:eastAsia="宋体" w:cs="Times New Roman"/>
          <w:szCs w:val="21"/>
        </w:rPr>
      </w:pPr>
      <w:r>
        <w:rPr>
          <w:rFonts w:hint="eastAsia" w:ascii="Times New Roman" w:hAnsi="Times New Roman" w:eastAsia="宋体" w:cs="Times New Roman"/>
          <w:szCs w:val="21"/>
        </w:rPr>
        <w:t xml:space="preserve">    本项目中涉及的所有软硬件设备及网络条件，均支持与学校相关平台对接，包含但不限于对接学校录播、监控及中控平台等。质保期内免费支持设备和软件相应协议和接口的二次开发；质保期后继续免费开放相关设备和软件已有的协议和接口，不得二次收费。本项目所有硬件设备必须匹配相应的应用软件，以满足用户使用需求，质保期内应用软件免费升级，应用软件存在网络安全风险的情况下，软件供应商应提供软件长期免费修复服务。中标方须在项目实施过程中须加强项目实施的组织管理，所有人员应遵守学校有关规章制度。</w:t>
      </w:r>
    </w:p>
    <w:p w14:paraId="22ED568B">
      <w:pPr>
        <w:shd w:val="clear" w:color="auto" w:fill="FFFFFF"/>
        <w:spacing w:line="360" w:lineRule="auto"/>
        <w:ind w:left="420"/>
        <w:jc w:val="left"/>
        <w:rPr>
          <w:rFonts w:ascii="Times New Roman" w:hAnsi="Times New Roman" w:eastAsia="宋体" w:cs="Times New Roman"/>
          <w:szCs w:val="21"/>
        </w:rPr>
      </w:pPr>
      <w:r>
        <w:rPr>
          <w:rFonts w:hint="eastAsia" w:ascii="Times New Roman" w:hAnsi="Times New Roman" w:eastAsia="宋体" w:cs="Times New Roman"/>
          <w:szCs w:val="21"/>
        </w:rPr>
        <w:t xml:space="preserve">    项目完成后，中标方应将项目有关的全部资料，包括但不限于产品资料、技术文档等移交采购人。</w:t>
      </w:r>
    </w:p>
    <w:p w14:paraId="061DDE07">
      <w:pPr>
        <w:shd w:val="clear" w:color="auto" w:fill="FFFFFF"/>
        <w:spacing w:line="360" w:lineRule="auto"/>
        <w:ind w:firstLine="420" w:firstLineChars="200"/>
        <w:jc w:val="left"/>
        <w:rPr>
          <w:rFonts w:ascii="Times New Roman" w:hAnsi="Times New Roman" w:eastAsia="宋体" w:cs="Times New Roman"/>
          <w:szCs w:val="21"/>
        </w:rPr>
      </w:pPr>
      <w:r>
        <w:rPr>
          <w:rFonts w:hint="eastAsia" w:ascii="Times New Roman" w:hAnsi="Times New Roman" w:eastAsia="宋体" w:cs="Times New Roman"/>
          <w:szCs w:val="21"/>
        </w:rPr>
        <w:t>5、培训</w:t>
      </w:r>
    </w:p>
    <w:p w14:paraId="42DB699E">
      <w:pPr>
        <w:shd w:val="clear" w:color="auto" w:fill="FFFFFF"/>
        <w:spacing w:line="360" w:lineRule="auto"/>
        <w:ind w:firstLine="420" w:firstLineChars="200"/>
        <w:jc w:val="left"/>
      </w:pPr>
      <w:r>
        <w:rPr>
          <w:rFonts w:hint="eastAsia" w:ascii="宋体" w:hAnsi="宋体" w:eastAsia="宋体" w:cs="Times New Roman"/>
          <w:bCs/>
          <w:szCs w:val="24"/>
        </w:rPr>
        <w:t>投标人应根据招标文件要求及本项目特点，制订相应的培训教材并提供培训课程。投标人应安排具备相应资质和经验的技术人员，对采购单位的使用部门人员进行全流程使用培训，确保相关人员能熟练掌握设备或系统的日常使用及维护</w:t>
      </w:r>
      <w:r>
        <w:rPr>
          <w:rFonts w:hint="eastAsia" w:ascii="Times New Roman" w:hAnsi="Times New Roman" w:eastAsia="宋体" w:cs="Times New Roman"/>
          <w:szCs w:val="21"/>
        </w:rPr>
        <w:t>。</w:t>
      </w:r>
      <w:r>
        <w:rPr>
          <w:rFonts w:hint="eastAsia" w:ascii="Times New Roman" w:hAnsi="Times New Roman" w:eastAsia="宋体" w:cs="Times New Roman"/>
          <w:szCs w:val="21"/>
        </w:rPr>
        <w:br w:type="page"/>
      </w:r>
      <w:r>
        <w:rPr>
          <w:rFonts w:hint="eastAsia"/>
          <w:bCs/>
        </w:rPr>
        <w:t>附件-教室清单（数据仅供参考）</w:t>
      </w:r>
    </w:p>
    <w:tbl>
      <w:tblPr>
        <w:tblStyle w:val="14"/>
        <w:tblW w:w="0" w:type="auto"/>
        <w:jc w:val="center"/>
        <w:tblLayout w:type="autofit"/>
        <w:tblCellMar>
          <w:top w:w="0" w:type="dxa"/>
          <w:left w:w="108" w:type="dxa"/>
          <w:bottom w:w="0" w:type="dxa"/>
          <w:right w:w="108" w:type="dxa"/>
        </w:tblCellMar>
      </w:tblPr>
      <w:tblGrid>
        <w:gridCol w:w="516"/>
        <w:gridCol w:w="966"/>
        <w:gridCol w:w="1866"/>
        <w:gridCol w:w="816"/>
        <w:gridCol w:w="666"/>
        <w:gridCol w:w="666"/>
        <w:gridCol w:w="1266"/>
        <w:gridCol w:w="816"/>
      </w:tblGrid>
      <w:tr w14:paraId="40A6EE56">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6F9947">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58328D">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982B81">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教学楼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C9DD5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教室名称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3E0908">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座位数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ED666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面积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7F3A7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吊顶情况</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F1C888">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教室类型</w:t>
            </w:r>
          </w:p>
        </w:tc>
      </w:tr>
      <w:tr w14:paraId="63ECCE98">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12267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5B9407">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4AABB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升华前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AB00F2">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501FD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E2C32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175.00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5FB5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有吊顶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85E0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阶梯教室</w:t>
            </w:r>
          </w:p>
        </w:tc>
      </w:tr>
      <w:tr w14:paraId="54E6E0CA">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BE8E1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2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5CC46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E8171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升华前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CA752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FCD13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F36E2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175.00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64821">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有吊顶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9F207">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阶梯教室</w:t>
            </w:r>
          </w:p>
        </w:tc>
      </w:tr>
      <w:tr w14:paraId="5518B329">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4A94F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4119E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8A79E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升华前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741A83">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2A146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268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5D2363">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252.00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3458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有吊顶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F77E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阶梯教室</w:t>
            </w:r>
          </w:p>
        </w:tc>
      </w:tr>
      <w:tr w14:paraId="2F881610">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9E1F1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4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1A6341">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5EA88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升华前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741CCF">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81FC0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AF6A2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102.00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8DF97">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有吊顶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69A3F">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阶梯教室</w:t>
            </w:r>
          </w:p>
        </w:tc>
      </w:tr>
      <w:tr w14:paraId="006EB014">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C33FF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5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7A1D5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C4129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升华前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0A9E2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61E97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46C6B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102.00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2026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有吊顶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39597">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阶梯教室</w:t>
            </w:r>
          </w:p>
        </w:tc>
      </w:tr>
      <w:tr w14:paraId="1923C6AB">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65AA2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6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3DB7E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C498B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升华前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24198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F465A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260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ED6D92">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235.00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15E12">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无吊顶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29ED2">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阶梯教室</w:t>
            </w:r>
          </w:p>
        </w:tc>
      </w:tr>
      <w:tr w14:paraId="319EC905">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894293">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7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CBBA9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C1639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升华前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161E3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202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925B68">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C9716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175.00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18232">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有吊顶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C8DF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阶梯教室</w:t>
            </w:r>
          </w:p>
        </w:tc>
      </w:tr>
      <w:tr w14:paraId="4C5559EA">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92969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8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A6F2A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B87A97">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升华前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43BEF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206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02920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A7FCA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175.00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3F5F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有吊顶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0157D">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阶梯教室</w:t>
            </w:r>
          </w:p>
        </w:tc>
      </w:tr>
      <w:tr w14:paraId="0AE443D1">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67495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9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76491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DE6B5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升华前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C9D82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207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7541C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165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6A512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252.00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92747">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无吊顶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4B94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阶梯教室</w:t>
            </w:r>
          </w:p>
        </w:tc>
      </w:tr>
      <w:tr w14:paraId="5AE099B1">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0A61C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56A3C8">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D5ED0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升华前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F2CFF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209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20964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3255C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102.00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14BF1">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有吊顶（整体）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B538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阶梯教室</w:t>
            </w:r>
          </w:p>
        </w:tc>
      </w:tr>
      <w:tr w14:paraId="59688565">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74FCD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11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154A6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D534F3">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升华前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5D4A1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EEFDF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9292E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102.00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A600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有吊顶（整体）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33B58">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阶梯教室</w:t>
            </w:r>
          </w:p>
        </w:tc>
      </w:tr>
      <w:tr w14:paraId="493F699E">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D2592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12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B2B80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4AF1B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升华前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278EAF">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302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99B8ED">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581E6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175.00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37278">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有吊顶（整体）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B34A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阶梯教室</w:t>
            </w:r>
          </w:p>
        </w:tc>
      </w:tr>
      <w:tr w14:paraId="2B8C9BA2">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C3BDC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541393">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7F9C3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升华前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97903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306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8553D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EE5D9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175.00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90E58">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有吊顶（整体）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8316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阶梯教室</w:t>
            </w:r>
          </w:p>
        </w:tc>
      </w:tr>
      <w:tr w14:paraId="63BBE6CD">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3B4D8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14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19E5F3">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974DB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升华前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8CD59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310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EB14F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8F2A87">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102.00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F7A1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有吊顶（整体）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BF11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阶梯教室</w:t>
            </w:r>
          </w:p>
        </w:tc>
      </w:tr>
      <w:tr w14:paraId="35031B29">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92273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15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F6E2D7">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6909A2">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升华前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A32FD1">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311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6E45F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7EB5ED">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102.00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60A7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有吊顶（整体）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CF22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阶梯教室</w:t>
            </w:r>
          </w:p>
        </w:tc>
      </w:tr>
      <w:tr w14:paraId="78A22FE3">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35CEE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16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5074E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天心校区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A17FB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二综合楼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AE238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604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955F1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131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6DAA8F">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114.75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4E213">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无吊顶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1E09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5E8F42CB">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13FD4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17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E8FA63">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天心校区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DAA77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二综合楼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5877F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605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0048B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126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F1FDED">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130.20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75373">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无吊顶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9416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1A99E7E0">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02441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18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FAA768">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天心校区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F5091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二综合楼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6A75B2">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606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320C4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65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0EA95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69.75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3071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无吊顶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47FDD">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7E923E1E">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6144C2">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19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978BC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天心校区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DA7888">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二综合楼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4EE36F">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609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77CDA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67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1844B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81.69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13FA1">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无吊顶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2D5D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0287B69A">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65FAC3">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20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51DA0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天心校区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268B3F">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二综合楼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B8D30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615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84263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121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BA8C5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130.20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7556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无吊顶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3274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70D62019">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74EE9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21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F0E222">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天心校区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1FF85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二综合楼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86C7BF">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715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A9AF53">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67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B7BAD3">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81.96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708E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无吊顶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DF82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2C0AF001">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9A4BCD">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22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5AE6E3">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天心校区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58967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二综合楼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921558">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815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49CC61">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67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325EEF">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81.96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0CB6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有吊顶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8A47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41D93DB6">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A630B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23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A82BA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天心校区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9FAEF1">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交通院交通楼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06FE0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509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4C78BD">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60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C0997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67.02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D3E68">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无吊顶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FE821">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26F87CD2">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21558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24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DB9AF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天心校区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D433DF">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公共管理学院公管楼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D6B272">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301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88C7B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96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62542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138.00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431FD">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活动吊顶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EA97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3FC531E8">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D9536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25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61DC28">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潇湘校区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47AB6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自动化学院信息楼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880D4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223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7120E0">
            <w:pPr>
              <w:jc w:val="center"/>
              <w:rPr>
                <w:rFonts w:asciiTheme="minorEastAsia" w:hAnsiTheme="minorEastAsia" w:cstheme="minorEastAsia"/>
                <w:color w:val="000000"/>
                <w:sz w:val="15"/>
                <w:szCs w:val="15"/>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06F5E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62.00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5B361">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活动吊顶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F7D42">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04987CE4">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185E8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26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EF6BA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潇湘校区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020D9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化学化工学院中楼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CFE92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123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2FE60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50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97FC6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60.18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B9453">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无吊顶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60CDF">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66E4EAFF">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FBDAF1">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27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0B3E8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潇湘校区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6A4E88">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化学化工学院中楼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53858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128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3783B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138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C5936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122.27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46A32">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无吊顶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AFE92">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0CA622C9">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182F2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28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D6927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潇湘校区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BD8CDD">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物理院数理楼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D1C59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122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95FA62">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B37B37">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111.86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A98E3">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无吊顶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8273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阶梯教室</w:t>
            </w:r>
          </w:p>
        </w:tc>
      </w:tr>
      <w:tr w14:paraId="42E1E200">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912168">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29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BB68F3">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潇湘校区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B607C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建艺院艺术楼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54F412">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110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2438C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60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A2BC6D">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90.39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379F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无吊顶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9CBF1">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6E8984EE">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A7E0C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30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6831A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杏林校区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44AB7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基础医学院孝骞楼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72634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610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5832A7">
            <w:pPr>
              <w:jc w:val="center"/>
              <w:rPr>
                <w:rFonts w:asciiTheme="minorEastAsia" w:hAnsiTheme="minorEastAsia" w:cstheme="minorEastAsia"/>
                <w:color w:val="000000"/>
                <w:sz w:val="15"/>
                <w:szCs w:val="15"/>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9BF4A1">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66.00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494A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无吊顶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7FEE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419EAA4D">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BD891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31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40D6BF">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杏林校区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7B61B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湘雅护理学院护理新大楼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60549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A118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99032A">
            <w:pPr>
              <w:jc w:val="center"/>
              <w:rPr>
                <w:rFonts w:asciiTheme="minorEastAsia" w:hAnsiTheme="minorEastAsia" w:cstheme="minorEastAsia"/>
                <w:color w:val="000000"/>
                <w:sz w:val="15"/>
                <w:szCs w:val="15"/>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1B167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107.60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A5DAD">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有吊顶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88C6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1856FDC2">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F81AD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32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2BC11F">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杏林校区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9C6927">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湘雅药学院药学新大楼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7ABB0F">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C421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6709A2">
            <w:pPr>
              <w:jc w:val="center"/>
              <w:rPr>
                <w:rFonts w:asciiTheme="minorEastAsia" w:hAnsiTheme="minorEastAsia" w:cstheme="minorEastAsia"/>
                <w:color w:val="000000"/>
                <w:sz w:val="15"/>
                <w:szCs w:val="15"/>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E98E3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22301">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有吊顶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5D8B2">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610DEC26">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51ADD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33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867A41">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杏林校区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0CDA17">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湘雅药学院药学新大楼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179353">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C422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7BB171">
            <w:pPr>
              <w:jc w:val="center"/>
              <w:rPr>
                <w:rFonts w:asciiTheme="minorEastAsia" w:hAnsiTheme="minorEastAsia" w:cstheme="minorEastAsia"/>
                <w:color w:val="000000"/>
                <w:sz w:val="15"/>
                <w:szCs w:val="15"/>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53112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190.96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685A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有吊顶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201D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7A99578B">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29537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34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74822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B2F927">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地信院地学楼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0D09DD">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434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401BB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50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3BFF9">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69.60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8AFC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无吊顶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BC9C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地面平整</w:t>
            </w:r>
          </w:p>
        </w:tc>
      </w:tr>
      <w:tr w14:paraId="20CBAB17">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C077C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35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C069CE">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sz w:val="15"/>
                <w:szCs w:val="15"/>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A7F37B">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sz w:val="15"/>
                <w:szCs w:val="15"/>
              </w:rPr>
              <w:t>地信院地学楼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3481E2">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sz w:val="15"/>
                <w:szCs w:val="15"/>
              </w:rPr>
              <w:t xml:space="preserve">432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67B0E4">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sz w:val="15"/>
                <w:szCs w:val="15"/>
              </w:rPr>
              <w:t xml:space="preserve">70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F9E2F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sz w:val="15"/>
                <w:szCs w:val="15"/>
              </w:rPr>
              <w:t xml:space="preserve">83.50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5B451">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sz w:val="15"/>
                <w:szCs w:val="15"/>
              </w:rPr>
              <w:t>整体吊顶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347F0">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sz w:val="15"/>
                <w:szCs w:val="15"/>
              </w:rPr>
              <w:t>地面平整</w:t>
            </w:r>
          </w:p>
        </w:tc>
      </w:tr>
      <w:tr w14:paraId="62DB0B95">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6F5038">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kern w:val="0"/>
                <w:sz w:val="15"/>
                <w:szCs w:val="15"/>
                <w:lang w:bidi="ar"/>
              </w:rPr>
              <w:t xml:space="preserve">36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655D66">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sz w:val="15"/>
                <w:szCs w:val="15"/>
              </w:rPr>
              <w:t>岳麓山校区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BCB87F">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sz w:val="15"/>
                <w:szCs w:val="15"/>
              </w:rPr>
              <w:t>材料院特冶楼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FE9A95">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sz w:val="15"/>
                <w:szCs w:val="15"/>
              </w:rPr>
              <w:t xml:space="preserve">206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7D13AD">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sz w:val="15"/>
                <w:szCs w:val="15"/>
              </w:rPr>
              <w:t xml:space="preserve">45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68D3FA">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sz w:val="15"/>
                <w:szCs w:val="15"/>
              </w:rPr>
              <w:t xml:space="preserve">68.00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8E8AC">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sz w:val="15"/>
                <w:szCs w:val="15"/>
              </w:rPr>
              <w:t>有吊顶（整体）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2F9EF">
            <w:pPr>
              <w:widowControl/>
              <w:jc w:val="center"/>
              <w:textAlignment w:val="center"/>
              <w:rPr>
                <w:rFonts w:asciiTheme="minorEastAsia" w:hAnsiTheme="minorEastAsia" w:cstheme="minorEastAsia"/>
                <w:color w:val="000000"/>
                <w:sz w:val="15"/>
                <w:szCs w:val="15"/>
              </w:rPr>
            </w:pPr>
            <w:r>
              <w:rPr>
                <w:rFonts w:hint="eastAsia" w:asciiTheme="minorEastAsia" w:hAnsiTheme="minorEastAsia" w:cstheme="minorEastAsia"/>
                <w:color w:val="000000"/>
                <w:sz w:val="15"/>
                <w:szCs w:val="15"/>
              </w:rPr>
              <w:t>地面平整</w:t>
            </w:r>
          </w:p>
        </w:tc>
      </w:tr>
    </w:tbl>
    <w:p w14:paraId="08583118"/>
    <w:p w14:paraId="3A6010A7">
      <w:pPr>
        <w:rPr>
          <w:rFonts w:ascii="Times New Roman" w:hAnsi="Times New Roman" w:eastAsia="宋体" w:cs="Times New Roman"/>
          <w:szCs w:val="21"/>
        </w:rPr>
      </w:pPr>
    </w:p>
    <w:p w14:paraId="126BB395">
      <w:pPr>
        <w:shd w:val="clear" w:color="auto" w:fill="FFFFFF"/>
        <w:spacing w:line="360" w:lineRule="auto"/>
        <w:ind w:firstLine="420" w:firstLineChars="200"/>
        <w:jc w:val="left"/>
        <w:rPr>
          <w:rFonts w:ascii="Times New Roman" w:hAnsi="Times New Roman" w:eastAsia="宋体" w:cs="Times New Roman"/>
          <w:szCs w:val="21"/>
        </w:rPr>
      </w:pPr>
    </w:p>
    <w:p w14:paraId="48D51799">
      <w:pPr>
        <w:adjustRightInd w:val="0"/>
        <w:snapToGrid w:val="0"/>
        <w:spacing w:before="156" w:beforeLines="50" w:line="360" w:lineRule="auto"/>
        <w:rPr>
          <w:rFonts w:ascii="黑体" w:hAnsi="华文中宋" w:eastAsia="黑体" w:cs="Times New Roman"/>
          <w:b/>
          <w:bCs/>
          <w:sz w:val="28"/>
          <w:szCs w:val="28"/>
        </w:rPr>
      </w:pPr>
    </w:p>
    <w:p w14:paraId="31F71276">
      <w:pPr>
        <w:spacing w:before="158" w:line="197" w:lineRule="auto"/>
        <w:jc w:val="center"/>
        <w:rPr>
          <w:rFonts w:ascii="华文中宋" w:hAnsi="华文中宋" w:eastAsia="华文中宋" w:cs="华文中宋"/>
          <w:sz w:val="36"/>
          <w:szCs w:val="36"/>
        </w:rPr>
      </w:pPr>
      <w:r>
        <w:rPr>
          <w:rFonts w:ascii="华文中宋" w:hAnsi="华文中宋" w:eastAsia="华文中宋" w:cs="华文中宋"/>
          <w:spacing w:val="-1"/>
          <w:sz w:val="36"/>
          <w:szCs w:val="36"/>
          <w14:textOutline w14:w="6527" w14:cap="flat" w14:cmpd="sng" w14:algn="ctr">
            <w14:solidFill>
              <w14:srgbClr w14:val="000000"/>
            </w14:solidFill>
            <w14:prstDash w14:val="solid"/>
            <w14:miter w14:val="0"/>
          </w14:textOutline>
        </w:rPr>
        <w:t>评审方法和评审标准</w:t>
      </w:r>
      <w:r>
        <w:rPr>
          <w:rFonts w:hint="eastAsia" w:ascii="华文中宋" w:hAnsi="华文中宋" w:eastAsia="华文中宋" w:cs="华文中宋"/>
          <w:spacing w:val="-1"/>
          <w:sz w:val="36"/>
          <w:szCs w:val="36"/>
          <w14:textOutline w14:w="6527" w14:cap="flat" w14:cmpd="sng" w14:algn="ctr">
            <w14:solidFill>
              <w14:srgbClr w14:val="000000"/>
            </w14:solidFill>
            <w14:prstDash w14:val="solid"/>
            <w14:miter w14:val="0"/>
          </w14:textOutline>
        </w:rPr>
        <w:t>（建议）</w:t>
      </w:r>
    </w:p>
    <w:tbl>
      <w:tblPr>
        <w:tblStyle w:val="14"/>
        <w:tblW w:w="9039"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520"/>
        <w:gridCol w:w="1384"/>
        <w:gridCol w:w="5376"/>
      </w:tblGrid>
      <w:tr w14:paraId="799DAB4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759" w:type="dxa"/>
            <w:vAlign w:val="center"/>
          </w:tcPr>
          <w:p w14:paraId="6E8C1673">
            <w:pPr>
              <w:tabs>
                <w:tab w:val="left" w:pos="2835"/>
              </w:tabs>
              <w:adjustRightInd w:val="0"/>
              <w:snapToGrid w:val="0"/>
              <w:spacing w:line="380" w:lineRule="exact"/>
              <w:jc w:val="left"/>
              <w:rPr>
                <w:rFonts w:ascii="楷体" w:hAnsi="Calibri" w:eastAsia="楷体"/>
                <w:bCs/>
                <w:szCs w:val="21"/>
              </w:rPr>
            </w:pPr>
            <w:r>
              <w:rPr>
                <w:rFonts w:hint="eastAsia" w:ascii="楷体" w:hAnsi="Calibri" w:eastAsia="楷体"/>
                <w:bCs/>
                <w:szCs w:val="21"/>
              </w:rPr>
              <w:t>序号</w:t>
            </w:r>
          </w:p>
        </w:tc>
        <w:tc>
          <w:tcPr>
            <w:tcW w:w="2904" w:type="dxa"/>
            <w:gridSpan w:val="2"/>
            <w:vAlign w:val="center"/>
          </w:tcPr>
          <w:p w14:paraId="0F4634F6">
            <w:pPr>
              <w:tabs>
                <w:tab w:val="left" w:pos="2835"/>
              </w:tabs>
              <w:adjustRightInd w:val="0"/>
              <w:snapToGrid w:val="0"/>
              <w:spacing w:line="380" w:lineRule="exact"/>
              <w:jc w:val="left"/>
              <w:rPr>
                <w:rFonts w:ascii="楷体" w:hAnsi="Calibri" w:eastAsia="楷体"/>
                <w:bCs/>
                <w:szCs w:val="21"/>
              </w:rPr>
            </w:pPr>
            <w:r>
              <w:rPr>
                <w:rFonts w:hint="eastAsia" w:ascii="楷体" w:hAnsi="Calibri" w:eastAsia="楷体"/>
                <w:bCs/>
                <w:szCs w:val="21"/>
              </w:rPr>
              <w:t>评标因素（权重分）</w:t>
            </w:r>
          </w:p>
        </w:tc>
        <w:tc>
          <w:tcPr>
            <w:tcW w:w="5376" w:type="dxa"/>
            <w:vAlign w:val="center"/>
          </w:tcPr>
          <w:p w14:paraId="136A8C86">
            <w:pPr>
              <w:tabs>
                <w:tab w:val="left" w:pos="2835"/>
              </w:tabs>
              <w:adjustRightInd w:val="0"/>
              <w:snapToGrid w:val="0"/>
              <w:spacing w:line="380" w:lineRule="exact"/>
              <w:jc w:val="center"/>
              <w:rPr>
                <w:rFonts w:ascii="楷体" w:hAnsi="Calibri" w:eastAsia="楷体"/>
                <w:bCs/>
                <w:szCs w:val="21"/>
              </w:rPr>
            </w:pPr>
            <w:r>
              <w:rPr>
                <w:rFonts w:hint="eastAsia" w:ascii="楷体" w:hAnsi="Calibri" w:eastAsia="楷体"/>
                <w:bCs/>
                <w:szCs w:val="21"/>
              </w:rPr>
              <w:t>评标标准</w:t>
            </w:r>
          </w:p>
        </w:tc>
      </w:tr>
      <w:tr w14:paraId="7DB4B6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trPr>
        <w:tc>
          <w:tcPr>
            <w:tcW w:w="759" w:type="dxa"/>
            <w:vAlign w:val="center"/>
          </w:tcPr>
          <w:p w14:paraId="30C077EB">
            <w:pPr>
              <w:tabs>
                <w:tab w:val="left" w:pos="2835"/>
              </w:tabs>
              <w:adjustRightInd w:val="0"/>
              <w:snapToGrid w:val="0"/>
              <w:spacing w:line="380" w:lineRule="exact"/>
              <w:jc w:val="center"/>
              <w:rPr>
                <w:rFonts w:ascii="楷体" w:hAnsi="Calibri" w:eastAsia="楷体"/>
                <w:bCs/>
                <w:szCs w:val="21"/>
              </w:rPr>
            </w:pPr>
            <w:r>
              <w:rPr>
                <w:rFonts w:hint="eastAsia" w:ascii="楷体" w:hAnsi="Calibri" w:eastAsia="楷体"/>
                <w:bCs/>
                <w:szCs w:val="21"/>
              </w:rPr>
              <w:t>1</w:t>
            </w:r>
          </w:p>
        </w:tc>
        <w:tc>
          <w:tcPr>
            <w:tcW w:w="2904" w:type="dxa"/>
            <w:gridSpan w:val="2"/>
            <w:vAlign w:val="center"/>
          </w:tcPr>
          <w:p w14:paraId="62C543F7">
            <w:pPr>
              <w:tabs>
                <w:tab w:val="left" w:pos="2835"/>
              </w:tabs>
              <w:adjustRightInd w:val="0"/>
              <w:snapToGrid w:val="0"/>
              <w:spacing w:line="380" w:lineRule="exact"/>
              <w:jc w:val="center"/>
              <w:rPr>
                <w:rFonts w:ascii="楷体" w:hAnsi="Calibri" w:eastAsia="楷体"/>
                <w:bCs/>
                <w:szCs w:val="21"/>
              </w:rPr>
            </w:pPr>
            <w:r>
              <w:rPr>
                <w:rFonts w:hint="eastAsia" w:ascii="楷体" w:hAnsi="Calibri" w:eastAsia="楷体"/>
                <w:bCs/>
                <w:szCs w:val="21"/>
              </w:rPr>
              <w:t>价格评价项（40分）</w:t>
            </w:r>
          </w:p>
        </w:tc>
        <w:tc>
          <w:tcPr>
            <w:tcW w:w="5376" w:type="dxa"/>
            <w:vAlign w:val="center"/>
          </w:tcPr>
          <w:p w14:paraId="44CD5384">
            <w:pPr>
              <w:tabs>
                <w:tab w:val="left" w:pos="2835"/>
              </w:tabs>
              <w:adjustRightInd w:val="0"/>
              <w:snapToGrid w:val="0"/>
              <w:spacing w:line="380" w:lineRule="exact"/>
              <w:jc w:val="left"/>
              <w:rPr>
                <w:rFonts w:ascii="楷体" w:hAnsi="Calibri" w:eastAsia="楷体"/>
                <w:bCs/>
                <w:szCs w:val="21"/>
              </w:rPr>
            </w:pPr>
            <w:r>
              <w:rPr>
                <w:rFonts w:hint="eastAsia" w:ascii="楷体" w:hAnsi="Calibri" w:eastAsia="楷体"/>
                <w:bCs/>
                <w:szCs w:val="21"/>
              </w:rPr>
              <w:t>①价格评价得分低价优先法计算，即满足招标文件要求且投标价格、最低的投标报价为评标基准价，其价格评价得分为满分（报价权重分）。其他投标人的价格评价得分统一按照下列公式计算：</w:t>
            </w:r>
          </w:p>
          <w:p w14:paraId="1409C14D">
            <w:pPr>
              <w:tabs>
                <w:tab w:val="left" w:pos="2835"/>
              </w:tabs>
              <w:adjustRightInd w:val="0"/>
              <w:snapToGrid w:val="0"/>
              <w:spacing w:line="380" w:lineRule="exact"/>
              <w:jc w:val="left"/>
              <w:rPr>
                <w:rFonts w:ascii="楷体" w:hAnsi="Calibri" w:eastAsia="楷体"/>
                <w:bCs/>
                <w:szCs w:val="21"/>
              </w:rPr>
            </w:pPr>
            <w:r>
              <w:rPr>
                <w:rFonts w:hint="eastAsia" w:ascii="楷体" w:hAnsi="Calibri" w:eastAsia="楷体"/>
                <w:bCs/>
                <w:szCs w:val="21"/>
              </w:rPr>
              <w:t>投标报价得分=（评标基准价</w:t>
            </w:r>
            <w:r>
              <w:rPr>
                <w:rFonts w:hint="eastAsia" w:ascii="楷体" w:hAnsi="Calibri" w:eastAsia="楷体"/>
                <w:bCs/>
                <w:szCs w:val="21"/>
                <w:vertAlign w:val="subscript"/>
              </w:rPr>
              <w:t>修正或调整</w:t>
            </w:r>
            <w:r>
              <w:rPr>
                <w:rFonts w:hint="eastAsia" w:ascii="楷体" w:hAnsi="Calibri" w:eastAsia="楷体"/>
                <w:bCs/>
                <w:szCs w:val="21"/>
              </w:rPr>
              <w:t>／投标报价</w:t>
            </w:r>
            <w:r>
              <w:rPr>
                <w:rFonts w:hint="eastAsia" w:ascii="楷体" w:hAnsi="Calibri" w:eastAsia="楷体"/>
                <w:bCs/>
                <w:szCs w:val="21"/>
                <w:vertAlign w:val="subscript"/>
              </w:rPr>
              <w:t>修正或调整</w:t>
            </w:r>
            <w:r>
              <w:rPr>
                <w:rFonts w:hint="eastAsia" w:ascii="楷体" w:hAnsi="Calibri" w:eastAsia="楷体"/>
                <w:bCs/>
                <w:szCs w:val="21"/>
              </w:rPr>
              <w:t>）×40</w:t>
            </w:r>
          </w:p>
          <w:p w14:paraId="55497259">
            <w:pPr>
              <w:tabs>
                <w:tab w:val="left" w:pos="2835"/>
              </w:tabs>
              <w:adjustRightInd w:val="0"/>
              <w:snapToGrid w:val="0"/>
              <w:spacing w:line="380" w:lineRule="exact"/>
              <w:jc w:val="left"/>
              <w:rPr>
                <w:rFonts w:ascii="楷体" w:hAnsi="Calibri" w:eastAsia="楷体"/>
                <w:bCs/>
                <w:szCs w:val="21"/>
              </w:rPr>
            </w:pPr>
            <w:r>
              <w:rPr>
                <w:rFonts w:hint="eastAsia" w:ascii="楷体" w:hAnsi="Calibri" w:eastAsia="楷体"/>
                <w:bCs/>
                <w:szCs w:val="21"/>
              </w:rPr>
              <w:t>②按照《政府采购货物和服务招标投标管理办法》（财政部令第87号）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3AD875F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59" w:type="dxa"/>
            <w:vMerge w:val="restart"/>
            <w:vAlign w:val="center"/>
          </w:tcPr>
          <w:p w14:paraId="18BE6B4B">
            <w:pPr>
              <w:tabs>
                <w:tab w:val="left" w:pos="2835"/>
              </w:tabs>
              <w:adjustRightInd w:val="0"/>
              <w:snapToGrid w:val="0"/>
              <w:spacing w:line="380" w:lineRule="exact"/>
              <w:jc w:val="center"/>
              <w:rPr>
                <w:rFonts w:ascii="楷体" w:hAnsi="Calibri" w:eastAsia="楷体"/>
                <w:bCs/>
                <w:szCs w:val="21"/>
              </w:rPr>
            </w:pPr>
            <w:r>
              <w:rPr>
                <w:rFonts w:hint="eastAsia" w:ascii="楷体" w:hAnsi="Calibri" w:eastAsia="楷体"/>
                <w:bCs/>
                <w:szCs w:val="21"/>
              </w:rPr>
              <w:t>2</w:t>
            </w:r>
          </w:p>
        </w:tc>
        <w:tc>
          <w:tcPr>
            <w:tcW w:w="1520" w:type="dxa"/>
            <w:vMerge w:val="restart"/>
            <w:vAlign w:val="center"/>
          </w:tcPr>
          <w:p w14:paraId="5C26C887">
            <w:pPr>
              <w:tabs>
                <w:tab w:val="left" w:pos="2835"/>
              </w:tabs>
              <w:adjustRightInd w:val="0"/>
              <w:snapToGrid w:val="0"/>
              <w:spacing w:line="380" w:lineRule="exact"/>
              <w:jc w:val="center"/>
              <w:rPr>
                <w:rFonts w:ascii="楷体" w:hAnsi="Calibri" w:eastAsia="楷体"/>
                <w:bCs/>
                <w:szCs w:val="21"/>
              </w:rPr>
            </w:pPr>
            <w:r>
              <w:rPr>
                <w:rFonts w:hint="eastAsia" w:ascii="楷体" w:hAnsi="Calibri" w:eastAsia="楷体"/>
                <w:bCs/>
                <w:szCs w:val="21"/>
              </w:rPr>
              <w:t>技术评价项（36分）</w:t>
            </w:r>
          </w:p>
        </w:tc>
        <w:tc>
          <w:tcPr>
            <w:tcW w:w="1384" w:type="dxa"/>
            <w:vAlign w:val="center"/>
          </w:tcPr>
          <w:p w14:paraId="56E7CA4B">
            <w:pPr>
              <w:tabs>
                <w:tab w:val="left" w:pos="2835"/>
              </w:tabs>
              <w:adjustRightInd w:val="0"/>
              <w:snapToGrid w:val="0"/>
              <w:spacing w:line="380" w:lineRule="exact"/>
              <w:jc w:val="center"/>
              <w:rPr>
                <w:rFonts w:ascii="楷体" w:hAnsi="Calibri" w:eastAsia="楷体"/>
                <w:bCs/>
                <w:szCs w:val="21"/>
              </w:rPr>
            </w:pPr>
            <w:r>
              <w:rPr>
                <w:rFonts w:hint="eastAsia" w:ascii="楷体" w:hAnsi="Calibri" w:eastAsia="楷体"/>
                <w:bCs/>
                <w:szCs w:val="21"/>
              </w:rPr>
              <w:t>采购需求（30分）</w:t>
            </w:r>
          </w:p>
        </w:tc>
        <w:tc>
          <w:tcPr>
            <w:tcW w:w="5376" w:type="dxa"/>
            <w:vAlign w:val="center"/>
          </w:tcPr>
          <w:p w14:paraId="154884A1">
            <w:pPr>
              <w:tabs>
                <w:tab w:val="left" w:pos="2835"/>
              </w:tabs>
              <w:adjustRightInd w:val="0"/>
              <w:snapToGrid w:val="0"/>
              <w:spacing w:line="380" w:lineRule="exact"/>
              <w:jc w:val="left"/>
              <w:rPr>
                <w:rFonts w:ascii="楷体" w:hAnsi="Calibri" w:eastAsia="楷体"/>
                <w:bCs/>
                <w:szCs w:val="21"/>
              </w:rPr>
            </w:pPr>
            <w:r>
              <w:rPr>
                <w:rFonts w:hint="eastAsia" w:ascii="楷体" w:hAnsi="Calibri" w:eastAsia="楷体"/>
                <w:bCs/>
                <w:szCs w:val="21"/>
              </w:rPr>
              <w:t>①投标文件没有“采购需求响应一览表”或“技术规格、参数响应/偏离表”的，本项不计分。</w:t>
            </w:r>
          </w:p>
          <w:p w14:paraId="1A14BEC0">
            <w:pPr>
              <w:tabs>
                <w:tab w:val="left" w:pos="2835"/>
              </w:tabs>
              <w:adjustRightInd w:val="0"/>
              <w:snapToGrid w:val="0"/>
              <w:spacing w:line="380" w:lineRule="exact"/>
              <w:jc w:val="left"/>
              <w:rPr>
                <w:rFonts w:ascii="楷体" w:hAnsi="Calibri" w:eastAsia="楷体"/>
                <w:bCs/>
                <w:szCs w:val="21"/>
              </w:rPr>
            </w:pPr>
            <w:r>
              <w:rPr>
                <w:rFonts w:hint="eastAsia" w:ascii="楷体" w:hAnsi="Calibri" w:eastAsia="楷体"/>
                <w:bCs/>
                <w:szCs w:val="21"/>
              </w:rPr>
              <w:t>②采购需求中标注“★”号的条款有任何负偏离(不响应)，在评标时将其视为无效投标。</w:t>
            </w:r>
          </w:p>
          <w:p w14:paraId="28E69050">
            <w:pPr>
              <w:tabs>
                <w:tab w:val="left" w:pos="2835"/>
              </w:tabs>
              <w:adjustRightInd w:val="0"/>
              <w:snapToGrid w:val="0"/>
              <w:spacing w:line="380" w:lineRule="exact"/>
              <w:jc w:val="left"/>
              <w:rPr>
                <w:rFonts w:ascii="楷体" w:hAnsi="Calibri" w:eastAsia="楷体"/>
                <w:bCs/>
                <w:szCs w:val="21"/>
              </w:rPr>
            </w:pPr>
            <w:r>
              <w:rPr>
                <w:rFonts w:hint="eastAsia" w:ascii="楷体" w:hAnsi="Calibri" w:eastAsia="楷体"/>
                <w:bCs/>
                <w:szCs w:val="21"/>
              </w:rPr>
              <w:t>③采购需求中标注“▲”号的条款技术参数响应不详，或技术规格型号描述不清，或应答时缺项漏项，或要求提供证明材料未提供，或提供的证明材料不清楚的，或负偏离的，每一项扣5分。</w:t>
            </w:r>
          </w:p>
          <w:p w14:paraId="303B0842">
            <w:pPr>
              <w:tabs>
                <w:tab w:val="left" w:pos="2835"/>
              </w:tabs>
              <w:adjustRightInd w:val="0"/>
              <w:snapToGrid w:val="0"/>
              <w:spacing w:line="380" w:lineRule="exact"/>
              <w:jc w:val="left"/>
              <w:rPr>
                <w:rFonts w:ascii="楷体" w:hAnsi="Calibri" w:eastAsia="楷体"/>
                <w:bCs/>
                <w:szCs w:val="21"/>
              </w:rPr>
            </w:pPr>
            <w:r>
              <w:rPr>
                <w:rFonts w:hint="eastAsia" w:ascii="楷体" w:hAnsi="Calibri" w:eastAsia="楷体"/>
                <w:bCs/>
                <w:szCs w:val="21"/>
              </w:rPr>
              <w:t>④除标注“★”、“▲”号的条款外，其余条款技术参数响应不详，或技术规格型号描述不清，或应答时缺项漏项，或要求提供证明材料未提供，或提供的证明材料不清楚的，或负偏离的，每一项扣3分。</w:t>
            </w:r>
          </w:p>
          <w:p w14:paraId="63B8927B">
            <w:pPr>
              <w:tabs>
                <w:tab w:val="left" w:pos="2835"/>
              </w:tabs>
              <w:adjustRightInd w:val="0"/>
              <w:snapToGrid w:val="0"/>
              <w:spacing w:line="380" w:lineRule="exact"/>
              <w:jc w:val="left"/>
              <w:rPr>
                <w:rFonts w:ascii="Calibri" w:hAnsi="Calibri"/>
              </w:rPr>
            </w:pPr>
            <w:r>
              <w:rPr>
                <w:rFonts w:hint="eastAsia" w:ascii="楷体" w:hAnsi="Calibri" w:eastAsia="楷体"/>
                <w:bCs/>
                <w:szCs w:val="21"/>
              </w:rPr>
              <w:t>⑤采购需求响应共30分，扣完为止。</w:t>
            </w:r>
          </w:p>
        </w:tc>
      </w:tr>
      <w:tr w14:paraId="0D21C9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59" w:type="dxa"/>
            <w:vMerge w:val="continue"/>
            <w:vAlign w:val="center"/>
          </w:tcPr>
          <w:p w14:paraId="1D32532F">
            <w:pPr>
              <w:tabs>
                <w:tab w:val="left" w:pos="2835"/>
              </w:tabs>
              <w:adjustRightInd w:val="0"/>
              <w:snapToGrid w:val="0"/>
              <w:spacing w:line="380" w:lineRule="exact"/>
              <w:jc w:val="center"/>
              <w:rPr>
                <w:rFonts w:ascii="楷体" w:hAnsi="Calibri" w:eastAsia="楷体"/>
                <w:bCs/>
                <w:szCs w:val="21"/>
              </w:rPr>
            </w:pPr>
          </w:p>
        </w:tc>
        <w:tc>
          <w:tcPr>
            <w:tcW w:w="1520" w:type="dxa"/>
            <w:vMerge w:val="continue"/>
            <w:vAlign w:val="center"/>
          </w:tcPr>
          <w:p w14:paraId="2EADEC5F">
            <w:pPr>
              <w:tabs>
                <w:tab w:val="left" w:pos="2835"/>
              </w:tabs>
              <w:adjustRightInd w:val="0"/>
              <w:snapToGrid w:val="0"/>
              <w:spacing w:line="380" w:lineRule="exact"/>
              <w:jc w:val="center"/>
              <w:rPr>
                <w:rFonts w:ascii="楷体" w:hAnsi="Calibri" w:eastAsia="楷体"/>
                <w:bCs/>
                <w:szCs w:val="21"/>
              </w:rPr>
            </w:pPr>
          </w:p>
        </w:tc>
        <w:tc>
          <w:tcPr>
            <w:tcW w:w="1384" w:type="dxa"/>
            <w:vAlign w:val="center"/>
          </w:tcPr>
          <w:p w14:paraId="6151B820">
            <w:pPr>
              <w:adjustRightInd w:val="0"/>
              <w:snapToGrid w:val="0"/>
              <w:spacing w:line="400" w:lineRule="exact"/>
              <w:jc w:val="center"/>
              <w:rPr>
                <w:rFonts w:ascii="楷体" w:hAnsi="Calibri" w:eastAsia="楷体"/>
                <w:bCs/>
                <w:szCs w:val="21"/>
              </w:rPr>
            </w:pPr>
            <w:r>
              <w:rPr>
                <w:rFonts w:ascii="楷体" w:hAnsi="Calibri" w:eastAsia="楷体"/>
                <w:bCs/>
                <w:szCs w:val="21"/>
              </w:rPr>
              <w:t>安装调试方案（</w:t>
            </w:r>
            <w:r>
              <w:rPr>
                <w:rFonts w:hint="eastAsia" w:ascii="楷体" w:hAnsi="Calibri" w:eastAsia="楷体"/>
                <w:bCs/>
                <w:szCs w:val="21"/>
              </w:rPr>
              <w:t>4</w:t>
            </w:r>
            <w:r>
              <w:rPr>
                <w:rFonts w:ascii="楷体" w:hAnsi="Calibri" w:eastAsia="楷体"/>
                <w:bCs/>
                <w:szCs w:val="21"/>
              </w:rPr>
              <w:t>分）</w:t>
            </w:r>
          </w:p>
        </w:tc>
        <w:tc>
          <w:tcPr>
            <w:tcW w:w="5376" w:type="dxa"/>
            <w:vAlign w:val="center"/>
          </w:tcPr>
          <w:p w14:paraId="171185A2">
            <w:pPr>
              <w:tabs>
                <w:tab w:val="left" w:pos="2835"/>
              </w:tabs>
              <w:adjustRightInd w:val="0"/>
              <w:snapToGrid w:val="0"/>
              <w:spacing w:line="380" w:lineRule="exact"/>
              <w:jc w:val="left"/>
              <w:rPr>
                <w:rFonts w:ascii="楷体" w:hAnsi="Calibri" w:eastAsia="楷体"/>
                <w:szCs w:val="21"/>
              </w:rPr>
            </w:pPr>
            <w:r>
              <w:rPr>
                <w:rFonts w:hint="eastAsia" w:ascii="楷体" w:hAnsi="Calibri" w:eastAsia="楷体"/>
                <w:szCs w:val="21"/>
              </w:rPr>
              <w:t>投标人根据项目采购需求结合学校的实际情况提供项目安装调试方案，包含但不限于：</w:t>
            </w:r>
          </w:p>
          <w:p w14:paraId="164061CF">
            <w:pPr>
              <w:tabs>
                <w:tab w:val="left" w:pos="2835"/>
              </w:tabs>
              <w:adjustRightInd w:val="0"/>
              <w:snapToGrid w:val="0"/>
              <w:spacing w:line="380" w:lineRule="exact"/>
              <w:jc w:val="left"/>
              <w:rPr>
                <w:rFonts w:ascii="楷体" w:hAnsi="Calibri" w:eastAsia="楷体"/>
                <w:szCs w:val="21"/>
              </w:rPr>
            </w:pPr>
            <w:r>
              <w:rPr>
                <w:rFonts w:hint="eastAsia" w:ascii="楷体" w:hAnsi="Calibri" w:eastAsia="楷体"/>
                <w:szCs w:val="21"/>
              </w:rPr>
              <w:t>①设备安装部署方案（包括设备接入方式、接口接线方法、安装布局等）；</w:t>
            </w:r>
          </w:p>
          <w:p w14:paraId="3EF50064">
            <w:pPr>
              <w:tabs>
                <w:tab w:val="left" w:pos="2835"/>
              </w:tabs>
              <w:adjustRightInd w:val="0"/>
              <w:snapToGrid w:val="0"/>
              <w:spacing w:line="380" w:lineRule="exact"/>
              <w:jc w:val="left"/>
              <w:rPr>
                <w:rFonts w:ascii="楷体" w:hAnsi="Calibri" w:eastAsia="楷体"/>
                <w:szCs w:val="21"/>
              </w:rPr>
            </w:pPr>
            <w:r>
              <w:rPr>
                <w:rFonts w:hint="eastAsia" w:ascii="楷体" w:hAnsi="Calibri" w:eastAsia="楷体"/>
                <w:szCs w:val="21"/>
              </w:rPr>
              <w:t>②货物运输、装卸、安装、调试的进度计划以及安装调试人员配备方案；</w:t>
            </w:r>
          </w:p>
          <w:p w14:paraId="581CCD06">
            <w:pPr>
              <w:tabs>
                <w:tab w:val="left" w:pos="2835"/>
              </w:tabs>
              <w:adjustRightInd w:val="0"/>
              <w:snapToGrid w:val="0"/>
              <w:spacing w:line="380" w:lineRule="exact"/>
              <w:jc w:val="left"/>
              <w:rPr>
                <w:rFonts w:ascii="楷体" w:hAnsi="Calibri" w:eastAsia="楷体"/>
                <w:szCs w:val="21"/>
              </w:rPr>
            </w:pPr>
            <w:r>
              <w:rPr>
                <w:rFonts w:hint="eastAsia" w:ascii="楷体" w:hAnsi="Calibri" w:eastAsia="楷体"/>
                <w:szCs w:val="21"/>
              </w:rPr>
              <w:t>③安装过程中的项目实施的组织管理（包括但不限于遵守学校规章制度、质量管理、安全保障、设备及人员保护措施等）；</w:t>
            </w:r>
          </w:p>
          <w:p w14:paraId="63F25112">
            <w:pPr>
              <w:tabs>
                <w:tab w:val="left" w:pos="2835"/>
              </w:tabs>
              <w:adjustRightInd w:val="0"/>
              <w:snapToGrid w:val="0"/>
              <w:spacing w:line="380" w:lineRule="exact"/>
              <w:jc w:val="left"/>
              <w:rPr>
                <w:rFonts w:ascii="楷体" w:hAnsi="Calibri" w:eastAsia="楷体"/>
                <w:szCs w:val="21"/>
              </w:rPr>
            </w:pPr>
            <w:r>
              <w:rPr>
                <w:rFonts w:hint="eastAsia" w:ascii="楷体" w:hAnsi="Calibri" w:eastAsia="楷体"/>
                <w:szCs w:val="21"/>
              </w:rPr>
              <w:t>④测试与试运行（包括验收不合格的处理方案及解决措施）；</w:t>
            </w:r>
          </w:p>
          <w:p w14:paraId="621CFCF9">
            <w:pPr>
              <w:tabs>
                <w:tab w:val="left" w:pos="2835"/>
              </w:tabs>
              <w:adjustRightInd w:val="0"/>
              <w:snapToGrid w:val="0"/>
              <w:spacing w:line="380" w:lineRule="exact"/>
              <w:jc w:val="left"/>
              <w:rPr>
                <w:rFonts w:ascii="楷体" w:hAnsi="Calibri" w:eastAsia="楷体"/>
                <w:szCs w:val="21"/>
              </w:rPr>
            </w:pPr>
            <w:r>
              <w:rPr>
                <w:rFonts w:hint="eastAsia" w:ascii="楷体" w:hAnsi="Calibri" w:eastAsia="楷体"/>
                <w:szCs w:val="21"/>
              </w:rPr>
              <w:t>技术先进、说明详尽、论据充分的每项计1分；欠完善、不充分的每项计0.5分，明显不合理或未提供说明材料不计分。</w:t>
            </w:r>
          </w:p>
        </w:tc>
      </w:tr>
      <w:tr w14:paraId="5C7707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759" w:type="dxa"/>
            <w:vMerge w:val="continue"/>
            <w:vAlign w:val="center"/>
          </w:tcPr>
          <w:p w14:paraId="6443D1C9">
            <w:pPr>
              <w:tabs>
                <w:tab w:val="left" w:pos="2835"/>
              </w:tabs>
              <w:adjustRightInd w:val="0"/>
              <w:snapToGrid w:val="0"/>
              <w:spacing w:line="380" w:lineRule="exact"/>
              <w:jc w:val="center"/>
              <w:rPr>
                <w:rFonts w:ascii="楷体" w:hAnsi="Calibri" w:eastAsia="楷体"/>
                <w:bCs/>
                <w:szCs w:val="21"/>
              </w:rPr>
            </w:pPr>
          </w:p>
        </w:tc>
        <w:tc>
          <w:tcPr>
            <w:tcW w:w="1520" w:type="dxa"/>
            <w:vMerge w:val="continue"/>
            <w:vAlign w:val="center"/>
          </w:tcPr>
          <w:p w14:paraId="18D3EC3B">
            <w:pPr>
              <w:tabs>
                <w:tab w:val="left" w:pos="2835"/>
              </w:tabs>
              <w:adjustRightInd w:val="0"/>
              <w:snapToGrid w:val="0"/>
              <w:spacing w:line="380" w:lineRule="exact"/>
              <w:jc w:val="center"/>
              <w:rPr>
                <w:rFonts w:ascii="楷体" w:hAnsi="Calibri" w:eastAsia="楷体"/>
                <w:bCs/>
                <w:szCs w:val="21"/>
              </w:rPr>
            </w:pPr>
          </w:p>
        </w:tc>
        <w:tc>
          <w:tcPr>
            <w:tcW w:w="1384" w:type="dxa"/>
            <w:vAlign w:val="center"/>
          </w:tcPr>
          <w:p w14:paraId="151A4F9B">
            <w:pPr>
              <w:adjustRightInd w:val="0"/>
              <w:snapToGrid w:val="0"/>
              <w:spacing w:line="400" w:lineRule="exact"/>
              <w:jc w:val="center"/>
              <w:rPr>
                <w:rFonts w:ascii="楷体" w:hAnsi="Calibri" w:eastAsia="楷体"/>
                <w:szCs w:val="21"/>
              </w:rPr>
            </w:pPr>
            <w:r>
              <w:rPr>
                <w:rFonts w:hint="eastAsia" w:ascii="楷体" w:hAnsi="Calibri" w:eastAsia="楷体"/>
                <w:bCs/>
                <w:szCs w:val="21"/>
              </w:rPr>
              <w:t>培训方案（2分）</w:t>
            </w:r>
          </w:p>
        </w:tc>
        <w:tc>
          <w:tcPr>
            <w:tcW w:w="5376" w:type="dxa"/>
            <w:vAlign w:val="center"/>
          </w:tcPr>
          <w:p w14:paraId="2D6C9B51">
            <w:pPr>
              <w:tabs>
                <w:tab w:val="left" w:pos="2835"/>
              </w:tabs>
              <w:adjustRightInd w:val="0"/>
              <w:snapToGrid w:val="0"/>
              <w:spacing w:line="380" w:lineRule="exact"/>
              <w:jc w:val="left"/>
              <w:rPr>
                <w:rFonts w:ascii="楷体" w:hAnsi="Calibri" w:eastAsia="楷体"/>
                <w:szCs w:val="21"/>
              </w:rPr>
            </w:pPr>
            <w:r>
              <w:rPr>
                <w:rFonts w:hint="eastAsia" w:ascii="楷体" w:hAnsi="Calibri" w:eastAsia="楷体"/>
                <w:szCs w:val="21"/>
              </w:rPr>
              <w:t>根据该项目采购需求结合学校的实际情况，详细对以下方面进行阐述：</w:t>
            </w:r>
          </w:p>
          <w:p w14:paraId="3A8F3A22">
            <w:pPr>
              <w:tabs>
                <w:tab w:val="left" w:pos="2835"/>
              </w:tabs>
              <w:adjustRightInd w:val="0"/>
              <w:snapToGrid w:val="0"/>
              <w:spacing w:line="380" w:lineRule="exact"/>
              <w:jc w:val="left"/>
              <w:rPr>
                <w:rFonts w:ascii="楷体" w:hAnsi="Calibri" w:eastAsia="楷体"/>
                <w:szCs w:val="21"/>
              </w:rPr>
            </w:pPr>
            <w:r>
              <w:rPr>
                <w:rFonts w:hint="eastAsia" w:ascii="楷体" w:hAnsi="Calibri" w:eastAsia="楷体"/>
                <w:szCs w:val="21"/>
              </w:rPr>
              <w:t>①培训内容及方式；</w:t>
            </w:r>
          </w:p>
          <w:p w14:paraId="23B5FDAD">
            <w:pPr>
              <w:tabs>
                <w:tab w:val="left" w:pos="2835"/>
              </w:tabs>
              <w:adjustRightInd w:val="0"/>
              <w:snapToGrid w:val="0"/>
              <w:spacing w:line="380" w:lineRule="exact"/>
              <w:jc w:val="left"/>
              <w:rPr>
                <w:rFonts w:ascii="楷体" w:hAnsi="Calibri" w:eastAsia="楷体"/>
                <w:szCs w:val="21"/>
              </w:rPr>
            </w:pPr>
            <w:r>
              <w:rPr>
                <w:rFonts w:hint="eastAsia" w:ascii="楷体" w:hAnsi="Calibri" w:eastAsia="楷体"/>
                <w:szCs w:val="21"/>
              </w:rPr>
              <w:t>②培训人员、培训覆盖面、预期培训效果等；</w:t>
            </w:r>
          </w:p>
          <w:p w14:paraId="17D188BA">
            <w:pPr>
              <w:tabs>
                <w:tab w:val="left" w:pos="2835"/>
              </w:tabs>
              <w:adjustRightInd w:val="0"/>
              <w:snapToGrid w:val="0"/>
              <w:spacing w:line="380" w:lineRule="exact"/>
              <w:jc w:val="left"/>
              <w:rPr>
                <w:rFonts w:ascii="楷体" w:hAnsi="Calibri" w:eastAsia="楷体"/>
                <w:szCs w:val="21"/>
              </w:rPr>
            </w:pPr>
            <w:r>
              <w:rPr>
                <w:rFonts w:ascii="楷体" w:hAnsi="Calibri" w:eastAsia="楷体"/>
                <w:szCs w:val="21"/>
              </w:rPr>
              <w:t>以上方案成熟合理切实可行的每项计1分，总分</w:t>
            </w:r>
            <w:r>
              <w:rPr>
                <w:rFonts w:hint="eastAsia" w:ascii="楷体" w:hAnsi="Calibri" w:eastAsia="楷体"/>
                <w:szCs w:val="21"/>
              </w:rPr>
              <w:t>2</w:t>
            </w:r>
            <w:r>
              <w:rPr>
                <w:rFonts w:ascii="楷体" w:hAnsi="Calibri" w:eastAsia="楷体"/>
                <w:szCs w:val="21"/>
              </w:rPr>
              <w:t>分。欠合理、基本可行的每项计0.5分，不合理或未提供的计0分。</w:t>
            </w:r>
          </w:p>
        </w:tc>
      </w:tr>
      <w:tr w14:paraId="3FF60B2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59" w:type="dxa"/>
            <w:vMerge w:val="restart"/>
            <w:vAlign w:val="center"/>
          </w:tcPr>
          <w:p w14:paraId="5D7556EA">
            <w:pPr>
              <w:tabs>
                <w:tab w:val="left" w:pos="2835"/>
              </w:tabs>
              <w:adjustRightInd w:val="0"/>
              <w:snapToGrid w:val="0"/>
              <w:spacing w:line="380" w:lineRule="exact"/>
              <w:jc w:val="center"/>
              <w:rPr>
                <w:rFonts w:ascii="楷体" w:hAnsi="Calibri" w:eastAsia="楷体"/>
                <w:bCs/>
                <w:szCs w:val="21"/>
              </w:rPr>
            </w:pPr>
            <w:r>
              <w:rPr>
                <w:rFonts w:hint="eastAsia" w:ascii="楷体" w:hAnsi="Calibri" w:eastAsia="楷体"/>
                <w:bCs/>
                <w:szCs w:val="21"/>
              </w:rPr>
              <w:t>3</w:t>
            </w:r>
          </w:p>
        </w:tc>
        <w:tc>
          <w:tcPr>
            <w:tcW w:w="1520" w:type="dxa"/>
            <w:vMerge w:val="restart"/>
            <w:vAlign w:val="center"/>
          </w:tcPr>
          <w:p w14:paraId="79944099">
            <w:pPr>
              <w:adjustRightInd w:val="0"/>
              <w:snapToGrid w:val="0"/>
              <w:spacing w:line="380" w:lineRule="exact"/>
              <w:jc w:val="center"/>
              <w:rPr>
                <w:rFonts w:ascii="楷体" w:hAnsi="Calibri" w:eastAsia="楷体"/>
                <w:szCs w:val="21"/>
              </w:rPr>
            </w:pPr>
            <w:r>
              <w:rPr>
                <w:rFonts w:hint="eastAsia" w:ascii="楷体" w:hAnsi="Calibri" w:eastAsia="楷体"/>
                <w:szCs w:val="21"/>
              </w:rPr>
              <w:t>商务评价项（24分）</w:t>
            </w:r>
          </w:p>
        </w:tc>
        <w:tc>
          <w:tcPr>
            <w:tcW w:w="1384" w:type="dxa"/>
            <w:vAlign w:val="center"/>
          </w:tcPr>
          <w:p w14:paraId="477F1582">
            <w:pPr>
              <w:adjustRightInd w:val="0"/>
              <w:snapToGrid w:val="0"/>
              <w:spacing w:line="380" w:lineRule="exact"/>
              <w:jc w:val="center"/>
              <w:rPr>
                <w:rFonts w:ascii="楷体" w:hAnsi="Calibri" w:eastAsia="楷体"/>
                <w:szCs w:val="21"/>
              </w:rPr>
            </w:pPr>
            <w:r>
              <w:rPr>
                <w:rFonts w:hint="eastAsia" w:ascii="楷体" w:hAnsi="Calibri" w:eastAsia="楷体"/>
                <w:szCs w:val="21"/>
              </w:rPr>
              <w:t>综合实力</w:t>
            </w:r>
          </w:p>
          <w:p w14:paraId="7168F3AA">
            <w:pPr>
              <w:adjustRightInd w:val="0"/>
              <w:snapToGrid w:val="0"/>
              <w:spacing w:line="380" w:lineRule="exact"/>
              <w:jc w:val="center"/>
              <w:rPr>
                <w:rFonts w:ascii="楷体" w:hAnsi="Calibri" w:eastAsia="楷体"/>
                <w:szCs w:val="21"/>
              </w:rPr>
            </w:pPr>
            <w:r>
              <w:rPr>
                <w:rFonts w:hint="eastAsia" w:ascii="楷体" w:hAnsi="Calibri" w:eastAsia="楷体"/>
                <w:szCs w:val="21"/>
              </w:rPr>
              <w:t>（3分）</w:t>
            </w:r>
          </w:p>
        </w:tc>
        <w:tc>
          <w:tcPr>
            <w:tcW w:w="5376" w:type="dxa"/>
            <w:vAlign w:val="center"/>
          </w:tcPr>
          <w:p w14:paraId="6258BFFC">
            <w:pPr>
              <w:adjustRightInd w:val="0"/>
              <w:snapToGrid w:val="0"/>
              <w:spacing w:line="380" w:lineRule="exact"/>
              <w:jc w:val="left"/>
              <w:rPr>
                <w:rFonts w:ascii="楷体" w:hAnsi="Calibri" w:eastAsia="楷体"/>
                <w:szCs w:val="21"/>
              </w:rPr>
            </w:pPr>
            <w:r>
              <w:rPr>
                <w:rFonts w:hint="eastAsia" w:ascii="楷体" w:hAnsi="Calibri" w:eastAsia="楷体"/>
                <w:bCs/>
                <w:szCs w:val="21"/>
              </w:rPr>
              <w:t>投标人或制造商</w:t>
            </w:r>
            <w:r>
              <w:rPr>
                <w:rFonts w:hint="eastAsia" w:ascii="楷体" w:hAnsi="Calibri" w:eastAsia="楷体"/>
                <w:szCs w:val="21"/>
              </w:rPr>
              <w:t>具有质量管理体系认证证书、环境管理体系认证证书、职业健康安全管理体系认证证书，每个计1分，最高得3分。</w:t>
            </w:r>
          </w:p>
          <w:p w14:paraId="01CA10E0">
            <w:pPr>
              <w:adjustRightInd w:val="0"/>
              <w:snapToGrid w:val="0"/>
              <w:spacing w:line="380" w:lineRule="exact"/>
              <w:jc w:val="left"/>
              <w:rPr>
                <w:rFonts w:ascii="楷体" w:hAnsi="Calibri" w:eastAsia="楷体"/>
                <w:szCs w:val="21"/>
              </w:rPr>
            </w:pPr>
            <w:r>
              <w:rPr>
                <w:rFonts w:hint="eastAsia" w:ascii="楷体" w:hAnsi="Calibri" w:eastAsia="楷体"/>
                <w:szCs w:val="21"/>
              </w:rPr>
              <w:t>注：以上证书均需全国认证认可信息公共服务平台（http://cx.cnca.cn）上能查询到，并在投标文件中附上相应网站截图及证书影印件。否则不予计分。</w:t>
            </w:r>
          </w:p>
        </w:tc>
      </w:tr>
      <w:tr w14:paraId="66E3E2E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59" w:type="dxa"/>
            <w:vMerge w:val="continue"/>
            <w:vAlign w:val="center"/>
          </w:tcPr>
          <w:p w14:paraId="5D17F18D">
            <w:pPr>
              <w:tabs>
                <w:tab w:val="left" w:pos="2835"/>
              </w:tabs>
              <w:adjustRightInd w:val="0"/>
              <w:snapToGrid w:val="0"/>
              <w:spacing w:line="380" w:lineRule="exact"/>
              <w:jc w:val="center"/>
              <w:rPr>
                <w:rFonts w:ascii="楷体" w:hAnsi="Calibri" w:eastAsia="楷体"/>
                <w:bCs/>
                <w:szCs w:val="21"/>
              </w:rPr>
            </w:pPr>
          </w:p>
        </w:tc>
        <w:tc>
          <w:tcPr>
            <w:tcW w:w="1520" w:type="dxa"/>
            <w:vMerge w:val="continue"/>
            <w:vAlign w:val="center"/>
          </w:tcPr>
          <w:p w14:paraId="7A9A9924">
            <w:pPr>
              <w:adjustRightInd w:val="0"/>
              <w:snapToGrid w:val="0"/>
              <w:spacing w:line="380" w:lineRule="exact"/>
              <w:jc w:val="center"/>
              <w:rPr>
                <w:rFonts w:ascii="楷体" w:hAnsi="Calibri" w:eastAsia="楷体"/>
                <w:szCs w:val="21"/>
              </w:rPr>
            </w:pPr>
          </w:p>
        </w:tc>
        <w:tc>
          <w:tcPr>
            <w:tcW w:w="1384" w:type="dxa"/>
            <w:vAlign w:val="center"/>
          </w:tcPr>
          <w:p w14:paraId="17F20200">
            <w:pPr>
              <w:adjustRightInd w:val="0"/>
              <w:snapToGrid w:val="0"/>
              <w:spacing w:line="380" w:lineRule="exact"/>
              <w:jc w:val="center"/>
              <w:rPr>
                <w:rFonts w:ascii="楷体" w:hAnsi="Calibri" w:eastAsia="楷体"/>
                <w:szCs w:val="21"/>
              </w:rPr>
            </w:pPr>
            <w:r>
              <w:rPr>
                <w:rFonts w:hint="eastAsia" w:ascii="楷体" w:hAnsi="Calibri" w:eastAsia="楷体"/>
                <w:szCs w:val="21"/>
              </w:rPr>
              <w:t>类似项目业绩</w:t>
            </w:r>
          </w:p>
          <w:p w14:paraId="3A4380A8">
            <w:pPr>
              <w:adjustRightInd w:val="0"/>
              <w:snapToGrid w:val="0"/>
              <w:spacing w:line="380" w:lineRule="exact"/>
              <w:jc w:val="center"/>
              <w:rPr>
                <w:rFonts w:ascii="楷体" w:hAnsi="Calibri" w:eastAsia="楷体"/>
                <w:szCs w:val="21"/>
              </w:rPr>
            </w:pPr>
            <w:r>
              <w:rPr>
                <w:rFonts w:hint="eastAsia" w:ascii="楷体" w:hAnsi="Calibri" w:eastAsia="楷体"/>
                <w:szCs w:val="21"/>
              </w:rPr>
              <w:t>（12分）</w:t>
            </w:r>
          </w:p>
        </w:tc>
        <w:tc>
          <w:tcPr>
            <w:tcW w:w="5376" w:type="dxa"/>
            <w:vAlign w:val="center"/>
          </w:tcPr>
          <w:p w14:paraId="4AAB91E2">
            <w:pPr>
              <w:adjustRightInd w:val="0"/>
              <w:snapToGrid w:val="0"/>
              <w:spacing w:line="380" w:lineRule="exact"/>
              <w:jc w:val="left"/>
              <w:rPr>
                <w:rFonts w:ascii="楷体" w:hAnsi="Calibri" w:eastAsia="楷体"/>
                <w:szCs w:val="21"/>
              </w:rPr>
            </w:pPr>
            <w:r>
              <w:rPr>
                <w:rFonts w:hint="eastAsia" w:ascii="楷体" w:hAnsi="Calibri" w:eastAsia="楷体"/>
                <w:szCs w:val="21"/>
              </w:rPr>
              <w:t>提供近三年内（投标截止时间前36个月）投标人具有类似产品终端销售业绩（类似产品业绩指含有本次招标</w:t>
            </w:r>
            <w:r>
              <w:rPr>
                <w:rFonts w:hint="eastAsia" w:ascii="楷体" w:hAnsi="Calibri" w:eastAsia="楷体"/>
                <w:b/>
                <w:bCs/>
                <w:szCs w:val="21"/>
              </w:rPr>
              <w:t>核心产品同类产品</w:t>
            </w:r>
            <w:r>
              <w:rPr>
                <w:rFonts w:hint="eastAsia" w:ascii="楷体" w:hAnsi="Calibri" w:eastAsia="楷体"/>
                <w:szCs w:val="21"/>
              </w:rPr>
              <w:t>的业绩，合同中至少包含有合同双方当事人、品牌、签字日期等信息，业绩必须是与实际用户单位签订，与经销商签订的无效）的，每份计3分；计满12分为止。</w:t>
            </w:r>
          </w:p>
          <w:p w14:paraId="330877AC">
            <w:pPr>
              <w:adjustRightInd w:val="0"/>
              <w:snapToGrid w:val="0"/>
              <w:spacing w:line="380" w:lineRule="exact"/>
              <w:jc w:val="left"/>
              <w:rPr>
                <w:rFonts w:ascii="楷体" w:hAnsi="Calibri" w:eastAsia="楷体"/>
                <w:bCs/>
                <w:szCs w:val="21"/>
              </w:rPr>
            </w:pPr>
            <w:r>
              <w:rPr>
                <w:rFonts w:hint="eastAsia" w:ascii="楷体" w:hAnsi="Calibri" w:eastAsia="楷体"/>
                <w:szCs w:val="21"/>
              </w:rPr>
              <w:t>注：提供相关合同复印件加盖投标人公章，</w:t>
            </w:r>
            <w:r>
              <w:rPr>
                <w:rFonts w:hint="eastAsia" w:ascii="楷体" w:hAnsi="Calibri" w:eastAsia="楷体"/>
                <w:b/>
                <w:bCs/>
                <w:szCs w:val="21"/>
              </w:rPr>
              <w:t>并提供原件</w:t>
            </w:r>
            <w:r>
              <w:rPr>
                <w:rFonts w:hint="eastAsia" w:ascii="楷体" w:hAnsi="Calibri" w:eastAsia="楷体"/>
                <w:szCs w:val="21"/>
              </w:rPr>
              <w:t>，否则不计分。</w:t>
            </w:r>
          </w:p>
        </w:tc>
      </w:tr>
      <w:tr w14:paraId="29215A6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59" w:type="dxa"/>
            <w:vMerge w:val="continue"/>
            <w:vAlign w:val="center"/>
          </w:tcPr>
          <w:p w14:paraId="4F8423C3">
            <w:pPr>
              <w:tabs>
                <w:tab w:val="left" w:pos="2835"/>
              </w:tabs>
              <w:adjustRightInd w:val="0"/>
              <w:snapToGrid w:val="0"/>
              <w:spacing w:line="380" w:lineRule="exact"/>
              <w:jc w:val="center"/>
              <w:rPr>
                <w:rFonts w:ascii="楷体" w:hAnsi="Calibri" w:eastAsia="楷体"/>
                <w:bCs/>
                <w:szCs w:val="21"/>
              </w:rPr>
            </w:pPr>
          </w:p>
        </w:tc>
        <w:tc>
          <w:tcPr>
            <w:tcW w:w="1520" w:type="dxa"/>
            <w:vMerge w:val="continue"/>
            <w:vAlign w:val="center"/>
          </w:tcPr>
          <w:p w14:paraId="1B5CCF00">
            <w:pPr>
              <w:adjustRightInd w:val="0"/>
              <w:snapToGrid w:val="0"/>
              <w:spacing w:line="380" w:lineRule="exact"/>
              <w:jc w:val="center"/>
              <w:rPr>
                <w:rFonts w:ascii="楷体" w:hAnsi="Calibri" w:eastAsia="楷体"/>
                <w:szCs w:val="21"/>
              </w:rPr>
            </w:pPr>
          </w:p>
        </w:tc>
        <w:tc>
          <w:tcPr>
            <w:tcW w:w="1384" w:type="dxa"/>
            <w:vAlign w:val="center"/>
          </w:tcPr>
          <w:p w14:paraId="527E00B3">
            <w:pPr>
              <w:adjustRightInd w:val="0"/>
              <w:snapToGrid w:val="0"/>
              <w:spacing w:line="380" w:lineRule="exact"/>
              <w:jc w:val="center"/>
              <w:rPr>
                <w:rFonts w:ascii="楷体" w:hAnsi="Calibri" w:eastAsia="楷体"/>
                <w:szCs w:val="21"/>
              </w:rPr>
            </w:pPr>
            <w:r>
              <w:rPr>
                <w:rFonts w:ascii="楷体" w:hAnsi="Calibri" w:eastAsia="楷体"/>
                <w:szCs w:val="21"/>
              </w:rPr>
              <w:t>质保期</w:t>
            </w:r>
            <w:r>
              <w:rPr>
                <w:rFonts w:ascii="楷体" w:hAnsi="Calibri" w:eastAsia="楷体"/>
                <w:szCs w:val="21"/>
              </w:rPr>
              <w:br w:type="textWrapping"/>
            </w:r>
            <w:r>
              <w:rPr>
                <w:rFonts w:ascii="楷体" w:hAnsi="Calibri" w:eastAsia="楷体"/>
                <w:szCs w:val="21"/>
              </w:rPr>
              <w:t>（</w:t>
            </w:r>
            <w:r>
              <w:rPr>
                <w:rFonts w:hint="eastAsia" w:ascii="楷体" w:hAnsi="Calibri" w:eastAsia="楷体"/>
                <w:szCs w:val="21"/>
              </w:rPr>
              <w:t>4</w:t>
            </w:r>
            <w:r>
              <w:rPr>
                <w:rFonts w:ascii="楷体" w:hAnsi="Calibri" w:eastAsia="楷体"/>
                <w:szCs w:val="21"/>
              </w:rPr>
              <w:t>分）</w:t>
            </w:r>
          </w:p>
        </w:tc>
        <w:tc>
          <w:tcPr>
            <w:tcW w:w="5376" w:type="dxa"/>
            <w:vAlign w:val="center"/>
          </w:tcPr>
          <w:p w14:paraId="46EDBABA">
            <w:pPr>
              <w:adjustRightInd w:val="0"/>
              <w:snapToGrid w:val="0"/>
              <w:spacing w:line="380" w:lineRule="exact"/>
              <w:jc w:val="left"/>
              <w:rPr>
                <w:rFonts w:ascii="楷体" w:hAnsi="Calibri" w:eastAsia="楷体"/>
                <w:szCs w:val="21"/>
              </w:rPr>
            </w:pPr>
            <w:r>
              <w:rPr>
                <w:rFonts w:hint="eastAsia" w:ascii="楷体" w:hAnsi="Calibri" w:eastAsia="楷体"/>
                <w:bCs/>
                <w:szCs w:val="21"/>
              </w:rPr>
              <w:t>以第五章采购需求规定的最低质保期为基础，质保期增加1年的加2分，最多加4分。注：满足最低质保期要求的不计分</w:t>
            </w:r>
          </w:p>
        </w:tc>
      </w:tr>
      <w:tr w14:paraId="3FA561C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59" w:type="dxa"/>
            <w:vMerge w:val="continue"/>
            <w:vAlign w:val="center"/>
          </w:tcPr>
          <w:p w14:paraId="7F95B2F3">
            <w:pPr>
              <w:tabs>
                <w:tab w:val="left" w:pos="2835"/>
              </w:tabs>
              <w:adjustRightInd w:val="0"/>
              <w:snapToGrid w:val="0"/>
              <w:spacing w:line="380" w:lineRule="exact"/>
              <w:jc w:val="center"/>
              <w:rPr>
                <w:rFonts w:ascii="楷体" w:hAnsi="Calibri" w:eastAsia="楷体"/>
                <w:bCs/>
                <w:szCs w:val="21"/>
              </w:rPr>
            </w:pPr>
          </w:p>
        </w:tc>
        <w:tc>
          <w:tcPr>
            <w:tcW w:w="1520" w:type="dxa"/>
            <w:vMerge w:val="continue"/>
            <w:vAlign w:val="center"/>
          </w:tcPr>
          <w:p w14:paraId="2CFF0173">
            <w:pPr>
              <w:adjustRightInd w:val="0"/>
              <w:snapToGrid w:val="0"/>
              <w:spacing w:line="380" w:lineRule="exact"/>
              <w:jc w:val="center"/>
              <w:rPr>
                <w:rFonts w:ascii="楷体" w:hAnsi="Calibri" w:eastAsia="楷体"/>
                <w:szCs w:val="21"/>
              </w:rPr>
            </w:pPr>
          </w:p>
        </w:tc>
        <w:tc>
          <w:tcPr>
            <w:tcW w:w="1384" w:type="dxa"/>
            <w:vAlign w:val="center"/>
          </w:tcPr>
          <w:p w14:paraId="4DE76547">
            <w:pPr>
              <w:adjustRightInd w:val="0"/>
              <w:snapToGrid w:val="0"/>
              <w:spacing w:line="380" w:lineRule="exact"/>
              <w:jc w:val="center"/>
              <w:rPr>
                <w:rFonts w:ascii="楷体" w:hAnsi="Calibri" w:eastAsia="楷体"/>
                <w:szCs w:val="21"/>
              </w:rPr>
            </w:pPr>
            <w:r>
              <w:rPr>
                <w:rFonts w:hint="eastAsia" w:ascii="楷体" w:hAnsi="Calibri" w:eastAsia="楷体"/>
                <w:szCs w:val="21"/>
              </w:rPr>
              <w:t>售后服务</w:t>
            </w:r>
          </w:p>
          <w:p w14:paraId="41254017">
            <w:pPr>
              <w:adjustRightInd w:val="0"/>
              <w:snapToGrid w:val="0"/>
              <w:spacing w:line="380" w:lineRule="exact"/>
              <w:jc w:val="center"/>
              <w:rPr>
                <w:rFonts w:ascii="楷体" w:hAnsi="Calibri" w:eastAsia="楷体"/>
                <w:szCs w:val="21"/>
              </w:rPr>
            </w:pPr>
            <w:r>
              <w:rPr>
                <w:rFonts w:hint="eastAsia" w:ascii="楷体" w:hAnsi="Calibri" w:eastAsia="楷体"/>
                <w:szCs w:val="21"/>
              </w:rPr>
              <w:t>（5分）</w:t>
            </w:r>
          </w:p>
        </w:tc>
        <w:tc>
          <w:tcPr>
            <w:tcW w:w="5376" w:type="dxa"/>
            <w:vAlign w:val="center"/>
          </w:tcPr>
          <w:p w14:paraId="4D189064">
            <w:pPr>
              <w:adjustRightInd w:val="0"/>
              <w:snapToGrid w:val="0"/>
              <w:spacing w:line="380" w:lineRule="exact"/>
              <w:jc w:val="left"/>
              <w:rPr>
                <w:rFonts w:ascii="楷体" w:hAnsi="Calibri" w:eastAsia="楷体"/>
                <w:szCs w:val="21"/>
              </w:rPr>
            </w:pPr>
            <w:r>
              <w:rPr>
                <w:rFonts w:hint="eastAsia" w:ascii="楷体" w:hAnsi="Calibri" w:eastAsia="楷体"/>
                <w:szCs w:val="21"/>
              </w:rPr>
              <w:t>根据本项目采购需求，提供项目售后服务方案，从</w:t>
            </w:r>
            <w:r>
              <w:rPr>
                <w:rFonts w:hint="eastAsia" w:ascii="楷体" w:hAnsi="Calibri" w:eastAsia="楷体"/>
                <w:szCs w:val="21"/>
              </w:rPr>
              <w:br w:type="textWrapping"/>
            </w:r>
            <w:r>
              <w:rPr>
                <w:rFonts w:hint="eastAsia" w:ascii="楷体" w:hAnsi="Calibri" w:eastAsia="楷体"/>
                <w:szCs w:val="21"/>
              </w:rPr>
              <w:t>①服务内容；</w:t>
            </w:r>
          </w:p>
          <w:p w14:paraId="42682498">
            <w:pPr>
              <w:adjustRightInd w:val="0"/>
              <w:snapToGrid w:val="0"/>
              <w:spacing w:line="380" w:lineRule="exact"/>
              <w:jc w:val="left"/>
              <w:rPr>
                <w:rFonts w:ascii="楷体" w:hAnsi="Calibri" w:eastAsia="楷体"/>
                <w:szCs w:val="21"/>
              </w:rPr>
            </w:pPr>
            <w:r>
              <w:rPr>
                <w:rFonts w:hint="eastAsia" w:ascii="楷体" w:hAnsi="Calibri" w:eastAsia="楷体"/>
                <w:szCs w:val="21"/>
              </w:rPr>
              <w:t>②服务响应时间方式及服务承诺；</w:t>
            </w:r>
          </w:p>
          <w:p w14:paraId="3050B403">
            <w:pPr>
              <w:adjustRightInd w:val="0"/>
              <w:snapToGrid w:val="0"/>
              <w:spacing w:line="380" w:lineRule="exact"/>
              <w:jc w:val="left"/>
              <w:rPr>
                <w:rFonts w:ascii="楷体" w:hAnsi="Calibri" w:eastAsia="楷体"/>
                <w:szCs w:val="21"/>
              </w:rPr>
            </w:pPr>
            <w:r>
              <w:rPr>
                <w:rFonts w:hint="eastAsia" w:ascii="楷体" w:hAnsi="Calibri" w:eastAsia="楷体"/>
                <w:szCs w:val="21"/>
              </w:rPr>
              <w:t>③服务保障措施；</w:t>
            </w:r>
          </w:p>
          <w:p w14:paraId="231693EF">
            <w:pPr>
              <w:adjustRightInd w:val="0"/>
              <w:snapToGrid w:val="0"/>
              <w:spacing w:line="380" w:lineRule="exact"/>
              <w:jc w:val="left"/>
              <w:rPr>
                <w:rFonts w:ascii="楷体" w:hAnsi="Calibri" w:eastAsia="楷体"/>
                <w:szCs w:val="21"/>
              </w:rPr>
            </w:pPr>
            <w:r>
              <w:rPr>
                <w:rFonts w:hint="eastAsia" w:ascii="楷体" w:hAnsi="Calibri" w:eastAsia="楷体"/>
                <w:szCs w:val="21"/>
              </w:rPr>
              <w:t>④备件供应、备件质量保证；</w:t>
            </w:r>
          </w:p>
          <w:p w14:paraId="3435FE2F">
            <w:pPr>
              <w:adjustRightInd w:val="0"/>
              <w:snapToGrid w:val="0"/>
              <w:spacing w:line="380" w:lineRule="exact"/>
              <w:jc w:val="left"/>
              <w:rPr>
                <w:rFonts w:ascii="楷体" w:hAnsi="Calibri" w:eastAsia="楷体"/>
                <w:szCs w:val="21"/>
              </w:rPr>
            </w:pPr>
            <w:r>
              <w:rPr>
                <w:rFonts w:hint="eastAsia" w:ascii="楷体" w:hAnsi="Calibri" w:eastAsia="楷体"/>
                <w:szCs w:val="21"/>
              </w:rPr>
              <w:t>⑤质保期满后的维修方案；</w:t>
            </w:r>
          </w:p>
          <w:p w14:paraId="16651A0F">
            <w:pPr>
              <w:adjustRightInd w:val="0"/>
              <w:snapToGrid w:val="0"/>
              <w:spacing w:line="380" w:lineRule="exact"/>
              <w:jc w:val="left"/>
              <w:rPr>
                <w:rFonts w:ascii="楷体" w:hAnsi="Calibri" w:eastAsia="楷体"/>
                <w:bCs/>
                <w:szCs w:val="21"/>
              </w:rPr>
            </w:pPr>
            <w:r>
              <w:rPr>
                <w:rFonts w:hint="eastAsia" w:ascii="楷体" w:hAnsi="Calibri" w:eastAsia="楷体"/>
                <w:szCs w:val="21"/>
              </w:rPr>
              <w:t>对投标人提供的售后服务方案进行评价，方案完整、合理的每项计1分，不够完善的每项计0.5分，未提供的不计分，最高得5分。</w:t>
            </w:r>
          </w:p>
        </w:tc>
      </w:tr>
      <w:tr w14:paraId="57B3B9B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759" w:type="dxa"/>
            <w:vAlign w:val="center"/>
          </w:tcPr>
          <w:p w14:paraId="46A4EF33">
            <w:pPr>
              <w:tabs>
                <w:tab w:val="left" w:pos="2835"/>
              </w:tabs>
              <w:adjustRightInd w:val="0"/>
              <w:snapToGrid w:val="0"/>
              <w:spacing w:line="380" w:lineRule="exact"/>
              <w:jc w:val="center"/>
              <w:rPr>
                <w:rFonts w:ascii="楷体" w:hAnsi="Calibri" w:eastAsia="楷体"/>
                <w:bCs/>
                <w:szCs w:val="21"/>
              </w:rPr>
            </w:pPr>
            <w:r>
              <w:rPr>
                <w:rFonts w:hint="eastAsia" w:ascii="楷体" w:hAnsi="Calibri" w:eastAsia="楷体"/>
                <w:bCs/>
                <w:szCs w:val="21"/>
              </w:rPr>
              <w:t>4</w:t>
            </w:r>
          </w:p>
        </w:tc>
        <w:tc>
          <w:tcPr>
            <w:tcW w:w="1520" w:type="dxa"/>
            <w:vAlign w:val="center"/>
          </w:tcPr>
          <w:p w14:paraId="4079648C">
            <w:pPr>
              <w:tabs>
                <w:tab w:val="left" w:pos="2835"/>
              </w:tabs>
              <w:adjustRightInd w:val="0"/>
              <w:snapToGrid w:val="0"/>
              <w:spacing w:line="380" w:lineRule="exact"/>
              <w:jc w:val="left"/>
              <w:rPr>
                <w:rFonts w:ascii="楷体" w:hAnsi="Calibri" w:eastAsia="楷体"/>
                <w:bCs/>
                <w:szCs w:val="21"/>
              </w:rPr>
            </w:pPr>
            <w:r>
              <w:rPr>
                <w:rFonts w:hint="eastAsia" w:ascii="楷体" w:hAnsi="Calibri" w:eastAsia="楷体"/>
                <w:bCs/>
                <w:szCs w:val="21"/>
              </w:rPr>
              <w:t>优先采购加分（优先采购加分）</w:t>
            </w:r>
          </w:p>
        </w:tc>
        <w:tc>
          <w:tcPr>
            <w:tcW w:w="6760" w:type="dxa"/>
            <w:gridSpan w:val="2"/>
            <w:vAlign w:val="center"/>
          </w:tcPr>
          <w:p w14:paraId="0C1333B7">
            <w:pPr>
              <w:tabs>
                <w:tab w:val="left" w:pos="2835"/>
              </w:tabs>
              <w:adjustRightInd w:val="0"/>
              <w:snapToGrid w:val="0"/>
              <w:spacing w:line="380" w:lineRule="exact"/>
              <w:jc w:val="left"/>
              <w:rPr>
                <w:rFonts w:ascii="楷体" w:hAnsi="Calibri" w:eastAsia="楷体"/>
                <w:bCs/>
                <w:szCs w:val="21"/>
              </w:rPr>
            </w:pPr>
            <w:r>
              <w:rPr>
                <w:rFonts w:hint="eastAsia" w:ascii="楷体" w:hAnsi="Calibri" w:eastAsia="楷体"/>
                <w:szCs w:val="21"/>
              </w:rPr>
              <w:t>投标产品为《节能产品政府采购品目清单》内非标记★符号的、投标产品为《环境标志产品政府采购品目清单》内的（符合上述两项加分条件的，只取其中一项进行价格评价项加分，由投标人自行申报其中一项），对于价格分，给予价格总分值</w:t>
            </w:r>
            <w:r>
              <w:rPr>
                <w:rFonts w:ascii="楷体" w:hAnsi="Calibri" w:eastAsia="楷体"/>
                <w:szCs w:val="21"/>
              </w:rPr>
              <w:t>6</w:t>
            </w:r>
            <w:r>
              <w:rPr>
                <w:rFonts w:hint="eastAsia" w:ascii="楷体" w:hAnsi="Calibri" w:eastAsia="楷体"/>
                <w:szCs w:val="21"/>
              </w:rPr>
              <w:t>%的加分。具体加分计算公式为：价格加分＝价格分值×加分比例×（节能产品报价÷总报价）</w:t>
            </w:r>
          </w:p>
        </w:tc>
      </w:tr>
    </w:tbl>
    <w:p w14:paraId="24E77659">
      <w:pPr>
        <w:pStyle w:val="8"/>
        <w:ind w:left="0" w:leftChars="0"/>
        <w:rPr>
          <w:rFonts w:ascii="楷体" w:hAnsi="楷体" w:eastAsia="楷体"/>
          <w:szCs w:val="24"/>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C92C2">
    <w:pPr>
      <w:snapToGrid w:val="0"/>
      <w:jc w:val="left"/>
      <w:rPr>
        <w:kern w:val="0"/>
        <w:sz w:val="18"/>
        <w:szCs w:val="18"/>
      </w:rPr>
    </w:pPr>
    <w:r>
      <w:rPr>
        <w:kern w:val="0"/>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6D69F5D">
                          <w:pPr>
                            <w:snapToGrid w:val="0"/>
                            <w:rPr>
                              <w:rFonts w:ascii="宋体" w:hAnsi="宋体"/>
                              <w:szCs w:val="21"/>
                            </w:rPr>
                          </w:pPr>
                          <w:r>
                            <w:rPr>
                              <w:rFonts w:hint="eastAsia" w:ascii="宋体" w:hAnsi="宋体"/>
                              <w:szCs w:val="21"/>
                            </w:rPr>
                            <w:fldChar w:fldCharType="begin"/>
                          </w:r>
                          <w:r>
                            <w:rPr>
                              <w:rFonts w:hint="eastAsia" w:ascii="宋体" w:hAnsi="宋体"/>
                              <w:szCs w:val="21"/>
                            </w:rPr>
                            <w:instrText xml:space="preserve"> PAGE  \* MERGEFORMAT </w:instrText>
                          </w:r>
                          <w:r>
                            <w:rPr>
                              <w:rFonts w:hint="eastAsia" w:ascii="宋体" w:hAnsi="宋体"/>
                              <w:szCs w:val="21"/>
                            </w:rPr>
                            <w:fldChar w:fldCharType="separate"/>
                          </w:r>
                          <w:r>
                            <w:rPr>
                              <w:rFonts w:ascii="宋体" w:hAnsi="宋体"/>
                              <w:szCs w:val="21"/>
                            </w:rPr>
                            <w:t>1</w:t>
                          </w:r>
                          <w:r>
                            <w:rPr>
                              <w:rFonts w:hint="eastAsia" w:ascii="宋体" w:hAnsi="宋体"/>
                              <w:szCs w:val="21"/>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36D69F5D">
                    <w:pPr>
                      <w:snapToGrid w:val="0"/>
                      <w:rPr>
                        <w:rFonts w:ascii="宋体" w:hAnsi="宋体"/>
                        <w:szCs w:val="21"/>
                      </w:rPr>
                    </w:pPr>
                    <w:r>
                      <w:rPr>
                        <w:rFonts w:hint="eastAsia" w:ascii="宋体" w:hAnsi="宋体"/>
                        <w:szCs w:val="21"/>
                      </w:rPr>
                      <w:fldChar w:fldCharType="begin"/>
                    </w:r>
                    <w:r>
                      <w:rPr>
                        <w:rFonts w:hint="eastAsia" w:ascii="宋体" w:hAnsi="宋体"/>
                        <w:szCs w:val="21"/>
                      </w:rPr>
                      <w:instrText xml:space="preserve"> PAGE  \* MERGEFORMAT </w:instrText>
                    </w:r>
                    <w:r>
                      <w:rPr>
                        <w:rFonts w:hint="eastAsia" w:ascii="宋体" w:hAnsi="宋体"/>
                        <w:szCs w:val="21"/>
                      </w:rPr>
                      <w:fldChar w:fldCharType="separate"/>
                    </w:r>
                    <w:r>
                      <w:rPr>
                        <w:rFonts w:ascii="宋体" w:hAnsi="宋体"/>
                        <w:szCs w:val="21"/>
                      </w:rPr>
                      <w:t>1</w:t>
                    </w:r>
                    <w:r>
                      <w:rPr>
                        <w:rFonts w:hint="eastAsia" w:ascii="宋体" w:hAnsi="宋体"/>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4502C">
    <w:pPr>
      <w:snapToGrid w:val="0"/>
      <w:jc w:val="center"/>
      <w:rPr>
        <w:kern w:val="0"/>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8D3BF8"/>
    <w:multiLevelType w:val="singleLevel"/>
    <w:tmpl w:val="978D3BF8"/>
    <w:lvl w:ilvl="0" w:tentative="0">
      <w:start w:val="1"/>
      <w:numFmt w:val="decimal"/>
      <w:lvlText w:val="(%1)"/>
      <w:lvlJc w:val="left"/>
      <w:pPr>
        <w:tabs>
          <w:tab w:val="left" w:pos="420"/>
        </w:tabs>
        <w:ind w:left="845" w:hanging="425"/>
      </w:pPr>
      <w:rPr>
        <w:rFonts w:hint="default"/>
      </w:rPr>
    </w:lvl>
  </w:abstractNum>
  <w:abstractNum w:abstractNumId="1">
    <w:nsid w:val="B7821FCF"/>
    <w:multiLevelType w:val="singleLevel"/>
    <w:tmpl w:val="B7821FCF"/>
    <w:lvl w:ilvl="0" w:tentative="0">
      <w:start w:val="1"/>
      <w:numFmt w:val="decimal"/>
      <w:lvlText w:val="(%1)"/>
      <w:lvlJc w:val="left"/>
      <w:pPr>
        <w:tabs>
          <w:tab w:val="left" w:pos="420"/>
        </w:tabs>
        <w:ind w:left="845" w:hanging="425"/>
      </w:pPr>
      <w:rPr>
        <w:rFonts w:hint="default"/>
      </w:rPr>
    </w:lvl>
  </w:abstractNum>
  <w:abstractNum w:abstractNumId="2">
    <w:nsid w:val="E859ADF7"/>
    <w:multiLevelType w:val="singleLevel"/>
    <w:tmpl w:val="E859ADF7"/>
    <w:lvl w:ilvl="0" w:tentative="0">
      <w:start w:val="1"/>
      <w:numFmt w:val="decimal"/>
      <w:lvlText w:val="(%1)"/>
      <w:lvlJc w:val="left"/>
      <w:pPr>
        <w:tabs>
          <w:tab w:val="left" w:pos="420"/>
        </w:tabs>
        <w:ind w:left="845" w:hanging="425"/>
      </w:pPr>
      <w:rPr>
        <w:rFonts w:hint="default"/>
      </w:rPr>
    </w:lvl>
  </w:abstractNum>
  <w:abstractNum w:abstractNumId="3">
    <w:nsid w:val="42FB9C0E"/>
    <w:multiLevelType w:val="singleLevel"/>
    <w:tmpl w:val="42FB9C0E"/>
    <w:lvl w:ilvl="0" w:tentative="0">
      <w:start w:val="1"/>
      <w:numFmt w:val="decimal"/>
      <w:lvlText w:val="(%1)"/>
      <w:lvlJc w:val="left"/>
      <w:pPr>
        <w:tabs>
          <w:tab w:val="left" w:pos="420"/>
        </w:tabs>
        <w:ind w:left="845" w:hanging="425"/>
      </w:pPr>
      <w:rPr>
        <w:rFont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attachedTemplate r:id="rId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CD3A10"/>
    <w:rsid w:val="00172A27"/>
    <w:rsid w:val="003379AC"/>
    <w:rsid w:val="00411EE9"/>
    <w:rsid w:val="0044695A"/>
    <w:rsid w:val="005B5099"/>
    <w:rsid w:val="006B12DF"/>
    <w:rsid w:val="00936F00"/>
    <w:rsid w:val="00983C2F"/>
    <w:rsid w:val="00B629F0"/>
    <w:rsid w:val="00C36E75"/>
    <w:rsid w:val="00E90C77"/>
    <w:rsid w:val="01C51963"/>
    <w:rsid w:val="0D0E1C7C"/>
    <w:rsid w:val="0F071E72"/>
    <w:rsid w:val="1B846615"/>
    <w:rsid w:val="260B04D9"/>
    <w:rsid w:val="27267653"/>
    <w:rsid w:val="274A6102"/>
    <w:rsid w:val="2E4F7D29"/>
    <w:rsid w:val="2FDE3140"/>
    <w:rsid w:val="30CF79C8"/>
    <w:rsid w:val="325D17E2"/>
    <w:rsid w:val="32C835E0"/>
    <w:rsid w:val="36276C79"/>
    <w:rsid w:val="41EB6F46"/>
    <w:rsid w:val="4A2D159E"/>
    <w:rsid w:val="506F12EC"/>
    <w:rsid w:val="50910D71"/>
    <w:rsid w:val="51241B09"/>
    <w:rsid w:val="55C25B1F"/>
    <w:rsid w:val="61965C29"/>
    <w:rsid w:val="62052522"/>
    <w:rsid w:val="62C77201"/>
    <w:rsid w:val="6FA34EC2"/>
    <w:rsid w:val="71CD3A10"/>
    <w:rsid w:val="7B074F05"/>
    <w:rsid w:val="7B5257E0"/>
    <w:rsid w:val="7DAB46BB"/>
    <w:rsid w:val="7FD148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6"/>
    <w:qFormat/>
    <w:uiPriority w:val="0"/>
    <w:pPr>
      <w:keepNext/>
      <w:jc w:val="center"/>
      <w:outlineLvl w:val="0"/>
    </w:pPr>
    <w:rPr>
      <w:b/>
      <w:bCs/>
      <w:sz w:val="24"/>
      <w:szCs w:val="20"/>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16">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6">
    <w:name w:val="annotation text"/>
    <w:basedOn w:val="1"/>
    <w:link w:val="22"/>
    <w:unhideWhenUsed/>
    <w:qFormat/>
    <w:uiPriority w:val="0"/>
    <w:pPr>
      <w:jc w:val="left"/>
    </w:pPr>
    <w:rPr>
      <w:rFonts w:hint="eastAsia" w:ascii="Times New Roman" w:hAnsi="Times New Roman"/>
      <w:szCs w:val="24"/>
    </w:rPr>
  </w:style>
  <w:style w:type="paragraph" w:styleId="7">
    <w:name w:val="Body Text"/>
    <w:basedOn w:val="1"/>
    <w:link w:val="19"/>
    <w:unhideWhenUsed/>
    <w:qFormat/>
    <w:uiPriority w:val="99"/>
    <w:pPr>
      <w:spacing w:after="120"/>
    </w:pPr>
    <w:rPr>
      <w:rFonts w:hint="eastAsia"/>
    </w:rPr>
  </w:style>
  <w:style w:type="paragraph" w:styleId="8">
    <w:name w:val="Body Text Indent"/>
    <w:basedOn w:val="1"/>
    <w:unhideWhenUsed/>
    <w:qFormat/>
    <w:uiPriority w:val="99"/>
    <w:pPr>
      <w:spacing w:after="120"/>
      <w:ind w:left="420" w:leftChars="200"/>
    </w:pPr>
    <w:rPr>
      <w:rFonts w:ascii="宋体" w:cs="Times New Roman"/>
      <w:sz w:val="24"/>
      <w:szCs w:val="20"/>
    </w:rPr>
  </w:style>
  <w:style w:type="paragraph" w:styleId="9">
    <w:name w:val="Balloon Text"/>
    <w:basedOn w:val="1"/>
    <w:link w:val="28"/>
    <w:qFormat/>
    <w:uiPriority w:val="0"/>
    <w:rPr>
      <w:sz w:val="18"/>
      <w:szCs w:val="18"/>
    </w:rPr>
  </w:style>
  <w:style w:type="paragraph" w:styleId="10">
    <w:name w:val="footer"/>
    <w:basedOn w:val="1"/>
    <w:link w:val="24"/>
    <w:qFormat/>
    <w:uiPriority w:val="0"/>
    <w:pPr>
      <w:tabs>
        <w:tab w:val="center" w:pos="4153"/>
        <w:tab w:val="right" w:pos="8306"/>
      </w:tabs>
      <w:snapToGrid w:val="0"/>
      <w:jc w:val="left"/>
    </w:pPr>
    <w:rPr>
      <w:sz w:val="18"/>
      <w:szCs w:val="18"/>
    </w:rPr>
  </w:style>
  <w:style w:type="paragraph" w:styleId="11">
    <w:name w:val="header"/>
    <w:basedOn w:val="1"/>
    <w:link w:val="23"/>
    <w:qFormat/>
    <w:uiPriority w:val="0"/>
    <w:pPr>
      <w:tabs>
        <w:tab w:val="center" w:pos="4153"/>
        <w:tab w:val="right" w:pos="8306"/>
      </w:tabs>
      <w:snapToGrid w:val="0"/>
      <w:jc w:val="center"/>
    </w:pPr>
    <w:rPr>
      <w:sz w:val="18"/>
      <w:szCs w:val="18"/>
    </w:rPr>
  </w:style>
  <w:style w:type="paragraph" w:styleId="12">
    <w:name w:val="annotation subject"/>
    <w:basedOn w:val="6"/>
    <w:next w:val="6"/>
    <w:link w:val="27"/>
    <w:qFormat/>
    <w:uiPriority w:val="0"/>
    <w:rPr>
      <w:rFonts w:hint="default" w:asciiTheme="minorHAnsi" w:hAnsiTheme="minorHAnsi"/>
      <w:b/>
      <w:bCs/>
      <w:szCs w:val="22"/>
    </w:rPr>
  </w:style>
  <w:style w:type="paragraph" w:styleId="13">
    <w:name w:val="Body Text First Indent"/>
    <w:basedOn w:val="7"/>
    <w:link w:val="20"/>
    <w:unhideWhenUsed/>
    <w:qFormat/>
    <w:uiPriority w:val="99"/>
    <w:pPr>
      <w:ind w:firstLine="420" w:firstLineChars="100"/>
    </w:pPr>
  </w:style>
  <w:style w:type="table" w:styleId="15">
    <w:name w:val="Table Grid"/>
    <w:basedOn w:val="1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annotation reference"/>
    <w:unhideWhenUsed/>
    <w:qFormat/>
    <w:uiPriority w:val="0"/>
    <w:rPr>
      <w:rFonts w:hint="default"/>
      <w:sz w:val="21"/>
      <w:szCs w:val="24"/>
    </w:rPr>
  </w:style>
  <w:style w:type="paragraph" w:customStyle="1" w:styleId="18">
    <w:name w:val="BodyText"/>
    <w:basedOn w:val="1"/>
    <w:unhideWhenUsed/>
    <w:qFormat/>
    <w:uiPriority w:val="0"/>
    <w:pPr>
      <w:spacing w:after="120"/>
    </w:pPr>
    <w:rPr>
      <w:rFonts w:hint="eastAsia"/>
      <w:sz w:val="20"/>
      <w:szCs w:val="24"/>
    </w:rPr>
  </w:style>
  <w:style w:type="character" w:customStyle="1" w:styleId="19">
    <w:name w:val="正文文本 字符"/>
    <w:basedOn w:val="16"/>
    <w:link w:val="7"/>
    <w:unhideWhenUsed/>
    <w:qFormat/>
    <w:uiPriority w:val="99"/>
    <w:rPr>
      <w:rFonts w:hint="default" w:cs="Times New Roman"/>
      <w:kern w:val="2"/>
      <w:sz w:val="22"/>
      <w:szCs w:val="22"/>
    </w:rPr>
  </w:style>
  <w:style w:type="character" w:customStyle="1" w:styleId="20">
    <w:name w:val="正文首行缩进 字符"/>
    <w:basedOn w:val="19"/>
    <w:link w:val="13"/>
    <w:unhideWhenUsed/>
    <w:qFormat/>
    <w:uiPriority w:val="99"/>
    <w:rPr>
      <w:rFonts w:hint="default" w:cs="Times New Roman"/>
      <w:kern w:val="2"/>
      <w:sz w:val="22"/>
      <w:szCs w:val="22"/>
    </w:rPr>
  </w:style>
  <w:style w:type="character" w:customStyle="1" w:styleId="21">
    <w:name w:val="批注文字 字符"/>
    <w:basedOn w:val="16"/>
    <w:unhideWhenUsed/>
    <w:qFormat/>
    <w:uiPriority w:val="99"/>
    <w:rPr>
      <w:rFonts w:hint="default" w:cs="Times New Roman"/>
      <w:kern w:val="2"/>
      <w:sz w:val="22"/>
      <w:szCs w:val="22"/>
    </w:rPr>
  </w:style>
  <w:style w:type="character" w:customStyle="1" w:styleId="22">
    <w:name w:val="批注文字 字符1"/>
    <w:basedOn w:val="16"/>
    <w:link w:val="6"/>
    <w:unhideWhenUsed/>
    <w:qFormat/>
    <w:uiPriority w:val="0"/>
    <w:rPr>
      <w:rFonts w:hint="eastAsia" w:ascii="Times New Roman" w:hAnsi="Times New Roman" w:eastAsia="宋体" w:cs="Times New Roman"/>
      <w:kern w:val="2"/>
      <w:sz w:val="24"/>
      <w:szCs w:val="24"/>
    </w:rPr>
  </w:style>
  <w:style w:type="character" w:customStyle="1" w:styleId="23">
    <w:name w:val="页眉 字符"/>
    <w:basedOn w:val="16"/>
    <w:link w:val="11"/>
    <w:qFormat/>
    <w:uiPriority w:val="0"/>
    <w:rPr>
      <w:kern w:val="2"/>
      <w:sz w:val="18"/>
      <w:szCs w:val="18"/>
    </w:rPr>
  </w:style>
  <w:style w:type="character" w:customStyle="1" w:styleId="24">
    <w:name w:val="页脚 字符"/>
    <w:basedOn w:val="16"/>
    <w:link w:val="10"/>
    <w:qFormat/>
    <w:uiPriority w:val="0"/>
    <w:rPr>
      <w:kern w:val="2"/>
      <w:sz w:val="18"/>
      <w:szCs w:val="18"/>
    </w:rPr>
  </w:style>
  <w:style w:type="paragraph" w:customStyle="1" w:styleId="25">
    <w:name w:val="修订1"/>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26">
    <w:name w:val="标题 1 字符"/>
    <w:link w:val="2"/>
    <w:qFormat/>
    <w:uiPriority w:val="0"/>
    <w:rPr>
      <w:b/>
      <w:bCs/>
      <w:sz w:val="24"/>
      <w:szCs w:val="20"/>
    </w:rPr>
  </w:style>
  <w:style w:type="character" w:customStyle="1" w:styleId="27">
    <w:name w:val="批注主题 字符"/>
    <w:basedOn w:val="22"/>
    <w:link w:val="12"/>
    <w:qFormat/>
    <w:uiPriority w:val="0"/>
    <w:rPr>
      <w:rFonts w:hint="eastAsia" w:asciiTheme="minorHAnsi" w:hAnsiTheme="minorHAnsi" w:eastAsiaTheme="minorEastAsia" w:cstheme="minorBidi"/>
      <w:b/>
      <w:bCs/>
      <w:kern w:val="2"/>
      <w:sz w:val="21"/>
      <w:szCs w:val="22"/>
    </w:rPr>
  </w:style>
  <w:style w:type="character" w:customStyle="1" w:styleId="28">
    <w:name w:val="批注框文本 字符"/>
    <w:basedOn w:val="16"/>
    <w:link w:val="9"/>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39033;&#30446;&#21450;&#25991;&#26723;\2026&#24180;&#39033;&#30446;&#19982;&#25991;&#26723;\&#25945;&#23398;&#25903;&#25345;&#37096;\2026&#24314;&#35774;&#39033;&#30446;\&#30740;&#31350;&#29983;&#25945;&#23460;&#24314;&#35774;\&#37319;&#36141;&#25991;&#26723;\&#20449;&#24687;&#19982;&#32593;&#32476;&#20013;&#24515;2026&#24180;&#30740;&#31350;&#29983;&#25945;&#23460;&#25552;&#36136;&#25913;&#36896;&#39033;&#30446;%20&#21830;&#21153;&#35201;&#27714;.dotx"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e279debd-09ef-4e08-83d2-8436425ca969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70A2C0C4</paraID>
      <start>0</start>
      <end>2</end>
      <status>unmodified</status>
      <modifiedWord/>
      <trackRevisions>false</trackRevisions>
    </reviewItem>
    <reviewItem>
      <errorID>c6d6d5bb-2363-4f91-8b42-efb5ce605499</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537EC85B</paraID>
      <start>32</start>
      <end>33</end>
      <status>unmodified</status>
      <modifiedWord/>
      <trackRevisions>false</trackRevisions>
    </reviewItem>
    <reviewItem>
      <errorID>f8480459-05df-47ba-b5ac-b1f02208e351</errorID>
      <errorWord>%</errorWord>
      <group>L1_Word</group>
      <groupName>字词问题</groupName>
      <ability>L2_Typo</ability>
      <abilityName>字词错误</abilityName>
      <candidateList>
        <item>%支</item>
      </candidateList>
      <explain/>
      <paraID>537EC85B</paraID>
      <start>63</start>
      <end>64</end>
      <status>unmodified</status>
      <modifiedWord/>
      <trackRevisions>false</trackRevisions>
    </reviewItem>
    <reviewItem>
      <errorID>729b37cb-dce5-4a1b-93bc-a8802974f34c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10E7A4B1</paraID>
      <start>0</start>
      <end>2</end>
      <status>unmodified</status>
      <modifiedWord/>
      <trackRevisions>false</trackRevisions>
    </reviewItem>
    <reviewItem>
      <errorID>7c546f3f-c531-4b4e-bd94-7646be086df7</errorID>
      <errorWord>保</errorWord>
      <group>L1_Word</group>
      <groupName>字词问题</groupName>
      <ability>L2_Typo</ability>
      <abilityName>字词错误</abilityName>
      <candidateList>
        <item>保期</item>
      </candidateList>
      <explain/>
      <paraID> 755CC9E</paraID>
      <start>4</start>
      <end>5</end>
      <status>unmodified</status>
      <modifiedWord/>
      <trackRevisions>false</trackRevisions>
    </reviewItem>
    <reviewItem>
      <errorID>ed4ecc5a-2efa-446c-9278-f43a9b57a59e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7048192C</paraID>
      <start>0</start>
      <end>2</end>
      <status>unmodified</status>
      <modifiedWord/>
      <trackRevisions>false</trackRevisions>
    </reviewItem>
    <reviewItem>
      <errorID>a62c4459-3986-4000-a49a-2e19a8f76415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2F922A38</paraID>
      <start>0</start>
      <end>2</end>
      <status>unmodified</status>
      <modifiedWord/>
      <trackRevisions>false</trackRevisions>
    </reviewItem>
    <reviewItem>
      <errorID>eef007a6-e363-45df-8978-cba594f23770</errorID>
      <errorWord>范</errorWord>
      <group>L1_Word</group>
      <groupName>字词问题</groupName>
      <ability>L2_Typo</ability>
      <abilityName>字词错误</abilityName>
      <candidateList>
        <item>范和</item>
      </candidateList>
      <explain/>
      <paraID>715E106D</paraID>
      <start>20</start>
      <end>21</end>
      <status>unmodified</status>
      <modifiedWord/>
      <trackRevisions>false</trackRevisions>
    </reviewItem>
    <reviewItem>
      <errorID>22aaa276-79d7-42f1-812c-987419c4b9c3</errorID>
      <errorWord>，。</errorWord>
      <group>L1_Punc</group>
      <groupName>标点问题</groupName>
      <ability>L2_Punc</ability>
      <abilityName>标点符号检查</abilityName>
      <candidateList>
        <item>，</item>
      </candidateList>
      <explain/>
      <paraID>715E106D</paraID>
      <start>43</start>
      <end>45</end>
      <status>unmodified</status>
      <modifiedWord/>
      <trackRevisions>false</trackRevisions>
    </reviewItem>
    <reviewItem>
      <errorID>56ce9465-3b99-44cd-913e-8d1e27de7780</errorID>
      <errorWord>，</errorWord>
      <group>L1_Word</group>
      <groupName>字词问题</groupName>
      <ability>L2_Typo</ability>
      <abilityName>字词错误</abilityName>
      <candidateList>
        <item>，将</item>
      </candidateList>
      <explain/>
      <paraID>71A06FD2</paraID>
      <start>35</start>
      <end>36</end>
      <status>unmodified</status>
      <modifiedWord/>
      <trackRevisions>false</trackRevisions>
    </reviewItem>
    <reviewItem>
      <errorID>5d756cab-439a-4034-8a28-77058506e0f8</errorID>
      <errorWord>中须</errorWord>
      <group>L1_Word</group>
      <groupName>字词问题</groupName>
      <ability>L2_Typo</ability>
      <abilityName>字词错误</abilityName>
      <candidateList>
        <item>中</item>
      </candidateList>
      <explain>〈动〉❶正对上；恰好合上：～选｜猜～了｜三枪都打～了目标。❷受到；遭受：～毒｜～暑｜胳膊上～了一枪。</explain>
      <paraID> 60E38F2</paraID>
      <start>15</start>
      <end>17</end>
      <status>unmodified</status>
      <modifiedWord/>
      <trackRevisions>false</trackRevisions>
    </reviewItem>
    <reviewItem>
      <errorID>75e72a10-7759-48d7-880b-bc4e7c735453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7BE33152</paraID>
      <start>0</start>
      <end>2</end>
      <status>unmodified</status>
      <modifiedWord/>
      <trackRevisions>false</trackRevisions>
    </reviewItem>
    <reviewItem>
      <errorID>e6297509-63bd-43fb-81c5-fe9070b2da0a</errorID>
      <errorWord>分</errorWord>
      <group>L1_Word</group>
      <groupName>字词问题</groupName>
      <ability>L2_Typo</ability>
      <abilityName>字词错误</abilityName>
      <candidateList>
        <item>分以</item>
      </candidateList>
      <explain/>
      <paraID>3BE89260</paraID>
      <start>6</start>
      <end>7</end>
      <status>unmodified</status>
      <modifiedWord/>
      <trackRevisions>false</trackRevisions>
    </reviewItem>
    <reviewItem>
      <errorID>f3cd0858-2902-4121-afe3-d4484ca616f7</errorID>
      <errorWord>价格、</errorWord>
      <group>L1_Grammar</group>
      <groupName>语法问题</groupName>
      <ability>L2_Order</ability>
      <abilityName>语序不当</abilityName>
      <candidateList>
        <item>价格</item>
      </candidateList>
      <explain>句子可能没有遵循时空、逻辑顺序，或者介词、关联词等位置不当。</explain>
      <paraID>3BE89260</paraID>
      <start>27</start>
      <end>30</end>
      <status>unmodified</status>
      <modifiedWord/>
      <trackRevisions>false</trackRevisions>
    </reviewItem>
    <reviewItem>
      <errorID>9c3c67f6-9cb0-4af1-922f-d7602d318b24</errorID>
      <errorWord>(</errorWord>
      <group>L1_Format</group>
      <groupName>格式问题</groupName>
      <ability>L2_HalfPunc</ability>
      <abilityName>全半角检查</abilityName>
      <candidateList>
        <item>（</item>
      </candidateList>
      <explain>文本全半角错误。</explain>
      <paraID>510C0B58</paraID>
      <start>21</start>
      <end>22</end>
      <status>unmodified</status>
      <modifiedWord/>
      <trackRevisions>false</trackRevisions>
    </reviewItem>
    <reviewItem>
      <errorID>6ebfb48e-18d2-46fc-8c7d-3fa492e4a610</errorID>
      <errorWord>)</errorWord>
      <group>L1_Format</group>
      <groupName>格式问题</groupName>
      <ability>L2_HalfPunc</ability>
      <abilityName>全半角检查</abilityName>
      <candidateList>
        <item>）</item>
      </candidateList>
      <explain>文本全半角错误。</explain>
      <paraID>510C0B58</paraID>
      <start>25</start>
      <end>26</end>
      <status>unmodified</status>
      <modifiedWord/>
      <trackRevisions>false</trackRevisions>
    </reviewItem>
    <reviewItem>
      <errorID>d7415fb8-955f-4954-98b6-31cf7815f58d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82DF36A</paraID>
      <start>6</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4BD67E-3ED8-4E90-875A-F2CC508073F9}">
  <ds:schemaRefs/>
</ds:datastoreItem>
</file>

<file path=docProps/app.xml><?xml version="1.0" encoding="utf-8"?>
<Properties xmlns="http://schemas.openxmlformats.org/officeDocument/2006/extended-properties" xmlns:vt="http://schemas.openxmlformats.org/officeDocument/2006/docPropsVTypes">
  <Template>信息与网络中心2026年研究生教室提质改造项目 商务要求</Template>
  <Pages>8</Pages>
  <Words>3211</Words>
  <Characters>3558</Characters>
  <Lines>41</Lines>
  <Paragraphs>11</Paragraphs>
  <TotalTime>2</TotalTime>
  <ScaleCrop>false</ScaleCrop>
  <LinksUpToDate>false</LinksUpToDate>
  <CharactersWithSpaces>3675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2026-04-02T09:31:00Z</dcterms:created>
  <dc:creator>WangYing</dc:creator>
  <cp:lastModifiedBy>张帅磊</cp:lastModifiedBy>
  <dcterms:modified xsi:type="dcterms:W3CDTF">2026-06-29T08:42:03Z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1C7D3AE050E746F39BF5D467172A8765_11</vt:lpwstr>
  </property>
  <property fmtid="{D5CDD505-2E9C-101B-9397-08002B2CF9AE}" pid="4" name="KSOTemplateDocerSaveRecord">
    <vt:lpwstr>eyJoZGlkIjoiNGZlOTE3NmU2NzYzNTkyZTM0ZGY1NTZkYTk3ZTdkYmIiLCJ1c2VySWQiOiIxNzg0MDE3NjYyIn0=</vt:lpwstr>
  </property>
</Properties>
</file>