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2ED24E">
      <w:pPr>
        <w:jc w:val="center"/>
        <w:rPr>
          <w:b/>
          <w:sz w:val="32"/>
          <w:szCs w:val="32"/>
        </w:rPr>
      </w:pPr>
      <w:r>
        <w:rPr>
          <w:rFonts w:hint="eastAsia"/>
          <w:b/>
          <w:sz w:val="32"/>
          <w:szCs w:val="32"/>
        </w:rPr>
        <w:t>一．便携水质多参数分析仪招标参数</w:t>
      </w:r>
    </w:p>
    <w:p w14:paraId="56D3A20A">
      <w:r>
        <w:rPr>
          <w:rFonts w:hint="eastAsia"/>
        </w:rPr>
        <w:t>1.1 工作条件</w:t>
      </w:r>
    </w:p>
    <w:p w14:paraId="2F96DD91">
      <w:r>
        <w:rPr>
          <w:rFonts w:hint="eastAsia"/>
        </w:rPr>
        <w:t>1.1.1 电源要求 ：提供两种供电模式</w:t>
      </w:r>
    </w:p>
    <w:p w14:paraId="3829B9BA">
      <w:pPr>
        <w:ind w:firstLine="210" w:firstLineChars="100"/>
      </w:pPr>
      <w:r>
        <w:rPr>
          <w:rFonts w:hint="eastAsia"/>
        </w:rPr>
        <w:t>（1）内部的可充电锂离子电池： 3.7VDC，≥3400mAh</w:t>
      </w:r>
    </w:p>
    <w:p w14:paraId="47AF2C01">
      <w:pPr>
        <w:ind w:firstLine="210" w:firstLineChars="100"/>
      </w:pPr>
      <w:r>
        <w:rPr>
          <w:rFonts w:hint="eastAsia"/>
        </w:rPr>
        <w:t xml:space="preserve">（2）外置的 Class II USB 电源适配器：100–240 VAC、50/60 Hz 输入；5VDC@2USB电源适配器输出 </w:t>
      </w:r>
    </w:p>
    <w:p w14:paraId="07272FC8">
      <w:r>
        <w:rPr>
          <w:rFonts w:hint="eastAsia"/>
        </w:rPr>
        <w:t>1.1.2 存储温度： –20 ～ 60 °C，最高90%相对湿度（无冷凝）</w:t>
      </w:r>
    </w:p>
    <w:p w14:paraId="0734ABD6">
      <w:r>
        <w:rPr>
          <w:rFonts w:hint="eastAsia"/>
        </w:rPr>
        <w:t>1.1.3 工作温度： 0 ～ 60 °C</w:t>
      </w:r>
    </w:p>
    <w:p w14:paraId="75EB166F">
      <w:r>
        <w:rPr>
          <w:rFonts w:hint="eastAsia"/>
        </w:rPr>
        <w:t>1.1.4工作湿度： 0-90% (无冷凝)</w:t>
      </w:r>
    </w:p>
    <w:p w14:paraId="2DC94D01">
      <w:r>
        <w:rPr>
          <w:rFonts w:hint="eastAsia"/>
        </w:rPr>
        <w:t>1.2技术性能指标</w:t>
      </w:r>
    </w:p>
    <w:p w14:paraId="61CA21DF">
      <w:r>
        <w:rPr>
          <w:rFonts w:hint="eastAsia"/>
        </w:rPr>
        <w:t>1.2.1提供多国语言 ，其中包括中文</w:t>
      </w:r>
    </w:p>
    <w:p w14:paraId="3663E3E2">
      <w:r>
        <w:rPr>
          <w:rFonts w:hint="eastAsia"/>
          <w:color w:val="C00000"/>
        </w:rPr>
        <w:t>1.2.2</w:t>
      </w:r>
      <w:r>
        <w:rPr>
          <w:rFonts w:hint="eastAsia"/>
        </w:rPr>
        <w:t>显示：可同时显示如下其中≥3个电极的测量读数</w:t>
      </w:r>
    </w:p>
    <w:p w14:paraId="20B6344A">
      <w:r>
        <w:rPr>
          <w:rFonts w:hint="eastAsia"/>
        </w:rPr>
        <w:t>（1）pH电极：pH、mV、温度</w:t>
      </w:r>
    </w:p>
    <w:p w14:paraId="2036185B">
      <w:r>
        <w:rPr>
          <w:rFonts w:hint="eastAsia"/>
        </w:rPr>
        <w:t>（2）电导率电极：电导率、盐度、总溶解固体、温度</w:t>
      </w:r>
    </w:p>
    <w:p w14:paraId="6A20CB7D">
      <w:r>
        <w:rPr>
          <w:rFonts w:hint="eastAsia"/>
        </w:rPr>
        <w:t>（3）溶解氧电极：溶解氧、压力、温度</w:t>
      </w:r>
    </w:p>
    <w:p w14:paraId="534611DE">
      <w:r>
        <w:rPr>
          <w:rFonts w:hint="eastAsia"/>
        </w:rPr>
        <w:t>（4）ORP氧化还原电位：mV、温度</w:t>
      </w:r>
    </w:p>
    <w:p w14:paraId="249BE979">
      <w:r>
        <w:rPr>
          <w:rFonts w:hint="eastAsia"/>
          <w:color w:val="C00000"/>
        </w:rPr>
        <w:t>1.2.3</w:t>
      </w:r>
      <w:r>
        <w:rPr>
          <w:rFonts w:hint="eastAsia"/>
        </w:rPr>
        <w:t xml:space="preserve"> 数据内存：≥100,000 组数据</w:t>
      </w:r>
    </w:p>
    <w:p w14:paraId="538E24E8">
      <w:r>
        <w:rPr>
          <w:rFonts w:hint="eastAsia"/>
        </w:rPr>
        <w:t>1.2.4 数据存储： 在“按下即读”模式和间隔测量模式时可自动存储。在“连续测量”模式时需手动存储。</w:t>
      </w:r>
    </w:p>
    <w:p w14:paraId="2F213F43">
      <w:r>
        <w:rPr>
          <w:rFonts w:hint="eastAsia"/>
        </w:rPr>
        <w:t>1.2.5 数据传输：通过USB接口连接到至PC或USB存储设备。</w:t>
      </w:r>
    </w:p>
    <w:p w14:paraId="469FFD40">
      <w:r>
        <w:rPr>
          <w:rFonts w:hint="eastAsia"/>
        </w:rPr>
        <w:t>1.2.6 温度校正：关闭、自动和手动（取决于特定参数）</w:t>
      </w:r>
    </w:p>
    <w:p w14:paraId="4A9D0DBA">
      <w:r>
        <w:rPr>
          <w:rFonts w:hint="eastAsia"/>
        </w:rPr>
        <w:t>1.2.7外壳防护等级：≥IP67（安装了电池盒后）</w:t>
      </w:r>
    </w:p>
    <w:p w14:paraId="0323BF00">
      <w:r>
        <w:rPr>
          <w:rFonts w:hint="eastAsia"/>
        </w:rPr>
        <w:t>2.电极技术性能指标</w:t>
      </w:r>
    </w:p>
    <w:p w14:paraId="027EE38C">
      <w:r>
        <w:rPr>
          <w:rFonts w:hint="eastAsia"/>
        </w:rPr>
        <w:t>2.1温度</w:t>
      </w:r>
    </w:p>
    <w:p w14:paraId="588A4153">
      <w:pPr>
        <w:ind w:firstLine="420" w:firstLineChars="200"/>
      </w:pPr>
      <w:r>
        <w:rPr>
          <w:rFonts w:hint="eastAsia"/>
        </w:rPr>
        <w:t>量程：-10.0～110.0℃</w:t>
      </w:r>
    </w:p>
    <w:p w14:paraId="148B2811">
      <w:pPr>
        <w:ind w:firstLine="420" w:firstLineChars="200"/>
      </w:pPr>
      <w:r>
        <w:rPr>
          <w:rFonts w:hint="eastAsia"/>
        </w:rPr>
        <w:t>分辨率：≥0.1℃</w:t>
      </w:r>
    </w:p>
    <w:p w14:paraId="7BE8D16B">
      <w:pPr>
        <w:ind w:firstLine="420" w:firstLineChars="200"/>
      </w:pPr>
      <w:r>
        <w:rPr>
          <w:rFonts w:hint="eastAsia"/>
        </w:rPr>
        <w:t>准确度：±0.3℃</w:t>
      </w:r>
    </w:p>
    <w:p w14:paraId="2DBA4F91">
      <w:r>
        <w:rPr>
          <w:rFonts w:hint="eastAsia"/>
        </w:rPr>
        <w:t>2.2 pH电极</w:t>
      </w:r>
    </w:p>
    <w:p w14:paraId="4211ACBE">
      <w:pPr>
        <w:ind w:firstLine="420" w:firstLineChars="200"/>
      </w:pPr>
      <w:r>
        <w:rPr>
          <w:rFonts w:hint="eastAsia"/>
        </w:rPr>
        <w:t>量程：0～14</w:t>
      </w:r>
    </w:p>
    <w:p w14:paraId="0093C5A1">
      <w:pPr>
        <w:ind w:firstLine="420" w:firstLineChars="200"/>
      </w:pPr>
      <w:r>
        <w:rPr>
          <w:rFonts w:hint="eastAsia"/>
        </w:rPr>
        <w:t>分辨率：0.1/0.01/0.001可选</w:t>
      </w:r>
    </w:p>
    <w:p w14:paraId="60B55FB8">
      <w:r>
        <w:rPr>
          <w:rFonts w:hint="eastAsia"/>
        </w:rPr>
        <w:t xml:space="preserve">   精度：pH电极0.02 </w:t>
      </w:r>
    </w:p>
    <w:p w14:paraId="04DDF229">
      <w:r>
        <w:rPr>
          <w:rFonts w:hint="eastAsia"/>
        </w:rPr>
        <w:t>2.3 ORP/氧化还原电位</w:t>
      </w:r>
    </w:p>
    <w:p w14:paraId="00345C78">
      <w:pPr>
        <w:ind w:firstLine="420" w:firstLineChars="200"/>
      </w:pPr>
      <w:r>
        <w:rPr>
          <w:rFonts w:hint="eastAsia"/>
        </w:rPr>
        <w:t>量程：-1200～＋1200 mV</w:t>
      </w:r>
    </w:p>
    <w:p w14:paraId="02D71F9C">
      <w:pPr>
        <w:ind w:firstLine="420" w:firstLineChars="200"/>
      </w:pPr>
      <w:r>
        <w:rPr>
          <w:rFonts w:hint="eastAsia"/>
        </w:rPr>
        <w:t>分辨率：≥0.1mV</w:t>
      </w:r>
    </w:p>
    <w:p w14:paraId="3A699E21">
      <w:r>
        <w:rPr>
          <w:rFonts w:hint="eastAsia"/>
        </w:rPr>
        <w:t>2.4 电导率电极</w:t>
      </w:r>
    </w:p>
    <w:p w14:paraId="5AE30BE2">
      <w:pPr>
        <w:ind w:firstLine="420" w:firstLineChars="200"/>
      </w:pPr>
      <w:r>
        <w:rPr>
          <w:rFonts w:hint="eastAsia"/>
        </w:rPr>
        <w:t>电导率：</w:t>
      </w:r>
    </w:p>
    <w:p w14:paraId="54719BAC">
      <w:pPr>
        <w:ind w:firstLine="420" w:firstLineChars="200"/>
      </w:pPr>
      <w:r>
        <w:rPr>
          <w:rFonts w:hint="eastAsia"/>
        </w:rPr>
        <w:t>量程：0.01 μS/cm ～ 200.0 mS/cm</w:t>
      </w:r>
    </w:p>
    <w:p w14:paraId="578D738C">
      <w:pPr>
        <w:ind w:firstLine="420" w:firstLineChars="200"/>
      </w:pPr>
      <w:r>
        <w:rPr>
          <w:rFonts w:hint="eastAsia"/>
        </w:rPr>
        <w:t>分辨率：≥0.01 μS/cm（最大0.05μS/cm）</w:t>
      </w:r>
    </w:p>
    <w:p w14:paraId="4CBF11CF">
      <w:pPr>
        <w:ind w:firstLine="420" w:firstLineChars="200"/>
      </w:pPr>
      <w:r>
        <w:rPr>
          <w:rFonts w:hint="eastAsia"/>
        </w:rPr>
        <w:t>量程：2.5～49欧姆·厘米</w:t>
      </w:r>
    </w:p>
    <w:p w14:paraId="4D18B5B8">
      <w:pPr>
        <w:ind w:firstLine="420" w:firstLineChars="200"/>
      </w:pPr>
      <w:r>
        <w:rPr>
          <w:rFonts w:hint="eastAsia"/>
        </w:rPr>
        <w:t>分辨率：≥0.1欧姆·厘米</w:t>
      </w:r>
    </w:p>
    <w:p w14:paraId="12251E59">
      <w:pPr>
        <w:ind w:firstLine="420" w:firstLineChars="200"/>
      </w:pPr>
      <w:r>
        <w:rPr>
          <w:rFonts w:hint="eastAsia"/>
        </w:rPr>
        <w:t>盐度</w:t>
      </w:r>
    </w:p>
    <w:p w14:paraId="157D63D8">
      <w:pPr>
        <w:ind w:firstLine="420" w:firstLineChars="200"/>
      </w:pPr>
      <w:r>
        <w:rPr>
          <w:rFonts w:hint="eastAsia"/>
        </w:rPr>
        <w:t>量程：0～42g/kg或‰</w:t>
      </w:r>
    </w:p>
    <w:p w14:paraId="4A25DF2F">
      <w:pPr>
        <w:ind w:firstLine="420" w:firstLineChars="200"/>
      </w:pPr>
      <w:r>
        <w:rPr>
          <w:rFonts w:hint="eastAsia"/>
        </w:rPr>
        <w:t>分辨率：≥0.01ppt</w:t>
      </w:r>
    </w:p>
    <w:p w14:paraId="6CA3BB20">
      <w:pPr>
        <w:ind w:firstLine="420" w:firstLineChars="200"/>
      </w:pPr>
      <w:r>
        <w:rPr>
          <w:rFonts w:hint="eastAsia"/>
        </w:rPr>
        <w:t>总溶解性固体</w:t>
      </w:r>
    </w:p>
    <w:p w14:paraId="123FB2AF">
      <w:pPr>
        <w:ind w:firstLine="420" w:firstLineChars="200"/>
      </w:pPr>
      <w:r>
        <w:rPr>
          <w:rFonts w:hint="eastAsia"/>
        </w:rPr>
        <w:t>量程：0.0～50.0g/L</w:t>
      </w:r>
    </w:p>
    <w:p w14:paraId="2A70DB92">
      <w:pPr>
        <w:ind w:firstLine="420" w:firstLineChars="200"/>
      </w:pPr>
      <w:r>
        <w:rPr>
          <w:rFonts w:hint="eastAsia"/>
        </w:rPr>
        <w:t>分辨率：≥0.1 mg/L</w:t>
      </w:r>
    </w:p>
    <w:p w14:paraId="40820AC6">
      <w:r>
        <w:rPr>
          <w:rFonts w:hint="eastAsia"/>
        </w:rPr>
        <w:t>2.5 溶解氧</w:t>
      </w:r>
    </w:p>
    <w:p w14:paraId="74F7307E">
      <w:pPr>
        <w:ind w:firstLine="420" w:firstLineChars="200"/>
      </w:pPr>
      <w:r>
        <w:rPr>
          <w:rFonts w:hint="eastAsia"/>
        </w:rPr>
        <w:t>测量原理：化学荧光法</w:t>
      </w:r>
    </w:p>
    <w:p w14:paraId="59DCEB5F">
      <w:pPr>
        <w:ind w:firstLine="420" w:firstLineChars="200"/>
      </w:pPr>
      <w:r>
        <w:rPr>
          <w:rFonts w:hint="eastAsia"/>
        </w:rPr>
        <w:t>量程:  0.05–20.0 mg/L</w:t>
      </w:r>
    </w:p>
    <w:p w14:paraId="729FF78D">
      <w:pPr>
        <w:ind w:firstLine="420" w:firstLineChars="200"/>
      </w:pPr>
      <w:r>
        <w:rPr>
          <w:rFonts w:hint="eastAsia"/>
        </w:rPr>
        <w:t>1–200% 饱和度</w:t>
      </w:r>
    </w:p>
    <w:p w14:paraId="2A831D23">
      <w:pPr>
        <w:ind w:firstLine="420" w:firstLineChars="200"/>
      </w:pPr>
      <w:r>
        <w:rPr>
          <w:rFonts w:hint="eastAsia"/>
        </w:rPr>
        <w:t>分辨率：≥0.01 mg/L</w:t>
      </w:r>
    </w:p>
    <w:p w14:paraId="6C647D64">
      <w:pPr>
        <w:ind w:firstLine="420" w:firstLineChars="200"/>
      </w:pPr>
      <w:r>
        <w:rPr>
          <w:rFonts w:hint="eastAsia"/>
        </w:rPr>
        <w:t>溶解氧的准确度： 在 0.1–8 mg/L时，为 ±0.1 mg/L</w:t>
      </w:r>
    </w:p>
    <w:p w14:paraId="036D42E8">
      <w:pPr>
        <w:ind w:firstLine="2100" w:firstLineChars="1000"/>
      </w:pPr>
      <w:r>
        <w:rPr>
          <w:rFonts w:hint="eastAsia"/>
        </w:rPr>
        <w:t>大于8.0 mg/L时，为 ±0.2 mg/L</w:t>
      </w:r>
    </w:p>
    <w:p w14:paraId="6CA99C25">
      <w:pPr>
        <w:numPr>
          <w:ilvl w:val="0"/>
          <w:numId w:val="1"/>
        </w:numPr>
        <w:spacing w:line="360" w:lineRule="auto"/>
      </w:pPr>
      <w:r>
        <w:rPr>
          <w:rFonts w:hint="eastAsia"/>
        </w:rPr>
        <w:t>仪器配置（包含：PH电极，溶解氧电极，ORP电极，电导率电极， PH标液，便携箱）</w:t>
      </w:r>
    </w:p>
    <w:p w14:paraId="2D8AF77B">
      <w:pPr>
        <w:spacing w:line="360" w:lineRule="auto"/>
      </w:pPr>
    </w:p>
    <w:p w14:paraId="2103B4B8">
      <w:pPr>
        <w:spacing w:line="360" w:lineRule="auto"/>
      </w:pPr>
    </w:p>
    <w:p w14:paraId="69556A2D">
      <w:pPr>
        <w:jc w:val="center"/>
        <w:rPr>
          <w:b/>
          <w:sz w:val="32"/>
          <w:szCs w:val="32"/>
        </w:rPr>
      </w:pPr>
      <w:r>
        <w:rPr>
          <w:rFonts w:hint="eastAsia"/>
          <w:b/>
          <w:sz w:val="32"/>
          <w:szCs w:val="32"/>
        </w:rPr>
        <w:t>二．地下水检测便携式水位计招标参数</w:t>
      </w:r>
    </w:p>
    <w:p w14:paraId="3378F9FA">
      <w:pPr>
        <w:pStyle w:val="11"/>
        <w:numPr>
          <w:ilvl w:val="0"/>
          <w:numId w:val="2"/>
        </w:numPr>
        <w:ind w:left="420" w:hanging="420" w:firstLineChars="0"/>
      </w:pPr>
      <w:r>
        <w:rPr>
          <w:rFonts w:hint="eastAsia"/>
        </w:rPr>
        <w:t>产品特点</w:t>
      </w:r>
    </w:p>
    <w:p w14:paraId="0001D4CF">
      <w:pPr>
        <w:pStyle w:val="11"/>
        <w:numPr>
          <w:ilvl w:val="1"/>
          <w:numId w:val="3"/>
        </w:numPr>
        <w:ind w:firstLineChars="0"/>
        <w:rPr>
          <w:bCs/>
        </w:rPr>
      </w:pPr>
      <w:r>
        <w:rPr>
          <w:rFonts w:hint="eastAsia"/>
          <w:bCs/>
        </w:rPr>
        <w:t>一个探头就可以完成水位测量；。</w:t>
      </w:r>
    </w:p>
    <w:p w14:paraId="49AC8549">
      <w:pPr>
        <w:pStyle w:val="11"/>
        <w:numPr>
          <w:ilvl w:val="1"/>
          <w:numId w:val="3"/>
        </w:numPr>
        <w:ind w:firstLineChars="0"/>
        <w:rPr>
          <w:bCs/>
        </w:rPr>
      </w:pPr>
      <w:r>
        <w:rPr>
          <w:rFonts w:hint="eastAsia"/>
          <w:bCs/>
          <w:lang w:val="en-US" w:eastAsia="zh-CN"/>
        </w:rPr>
        <w:t>最大</w:t>
      </w:r>
      <w:r>
        <w:rPr>
          <w:rFonts w:hint="eastAsia"/>
          <w:bCs/>
        </w:rPr>
        <w:t>测量深度</w:t>
      </w:r>
      <w:r>
        <w:rPr>
          <w:rFonts w:hint="eastAsia"/>
          <w:bCs/>
          <w:color w:val="0000FF"/>
          <w:lang w:val="en-US" w:eastAsia="zh-CN"/>
        </w:rPr>
        <w:t>≥</w:t>
      </w:r>
      <w:r>
        <w:rPr>
          <w:rFonts w:hint="eastAsia"/>
          <w:bCs/>
          <w:color w:val="0000FF"/>
        </w:rPr>
        <w:t>100米（其他米数可以定制）</w:t>
      </w:r>
      <w:r>
        <w:rPr>
          <w:rFonts w:hint="eastAsia"/>
          <w:bCs/>
        </w:rPr>
        <w:t>。</w:t>
      </w:r>
    </w:p>
    <w:p w14:paraId="1108F427">
      <w:pPr>
        <w:pStyle w:val="11"/>
        <w:numPr>
          <w:ilvl w:val="1"/>
          <w:numId w:val="3"/>
        </w:numPr>
        <w:ind w:firstLineChars="0"/>
        <w:rPr>
          <w:bCs/>
        </w:rPr>
      </w:pPr>
      <w:r>
        <w:rPr>
          <w:rFonts w:hint="eastAsia"/>
          <w:bCs/>
        </w:rPr>
        <w:t>测量尺采样防腐蚀材料，使用寿命长。</w:t>
      </w:r>
    </w:p>
    <w:p w14:paraId="268F8316">
      <w:pPr>
        <w:pStyle w:val="11"/>
        <w:numPr>
          <w:ilvl w:val="1"/>
          <w:numId w:val="3"/>
        </w:numPr>
        <w:ind w:firstLineChars="0"/>
        <w:rPr>
          <w:bCs/>
        </w:rPr>
      </w:pPr>
      <w:r>
        <w:rPr>
          <w:rFonts w:hint="eastAsia"/>
          <w:bCs/>
        </w:rPr>
        <w:t>一体式探头灵敏；</w:t>
      </w:r>
      <w:r>
        <w:rPr>
          <w:rFonts w:hint="eastAsia"/>
          <w:bCs/>
          <w:color w:val="0000FF"/>
          <w:highlight w:val="none"/>
        </w:rPr>
        <w:t>探头直径25mm</w:t>
      </w:r>
      <w:r>
        <w:rPr>
          <w:rFonts w:hint="eastAsia"/>
          <w:color w:val="0000FF"/>
          <w:lang w:val="en-US" w:eastAsia="zh-CN"/>
        </w:rPr>
        <w:t>（±2mm)</w:t>
      </w:r>
      <w:r>
        <w:rPr>
          <w:rFonts w:hint="eastAsia"/>
          <w:bCs/>
          <w:highlight w:val="none"/>
        </w:rPr>
        <w:t>；</w:t>
      </w:r>
      <w:r>
        <w:rPr>
          <w:rFonts w:hint="eastAsia"/>
          <w:bCs/>
        </w:rPr>
        <w:t>适合大部分井口工况。</w:t>
      </w:r>
    </w:p>
    <w:p w14:paraId="42E6341E">
      <w:pPr>
        <w:ind w:firstLine="420" w:firstLineChars="200"/>
        <w:rPr>
          <w:bCs/>
        </w:rPr>
      </w:pPr>
      <w:r>
        <w:rPr>
          <w:rFonts w:hint="eastAsia"/>
          <w:bCs/>
        </w:rPr>
        <w:t>1.5 水位测量时探头能发出提示音</w:t>
      </w:r>
    </w:p>
    <w:p w14:paraId="66FA1D50">
      <w:r>
        <w:rPr>
          <w:rFonts w:hint="eastAsia"/>
        </w:rPr>
        <w:t>2. 主要技术指标</w:t>
      </w:r>
    </w:p>
    <w:tbl>
      <w:tblPr>
        <w:tblStyle w:val="7"/>
        <w:tblW w:w="6586" w:type="dxa"/>
        <w:jc w:val="center"/>
        <w:shd w:val="clear" w:color="auto" w:fill="FFFFFF" w:themeFill="background1"/>
        <w:tblLayout w:type="fixed"/>
        <w:tblCellMar>
          <w:top w:w="0" w:type="dxa"/>
          <w:left w:w="108" w:type="dxa"/>
          <w:bottom w:w="0" w:type="dxa"/>
          <w:right w:w="108" w:type="dxa"/>
        </w:tblCellMar>
      </w:tblPr>
      <w:tblGrid>
        <w:gridCol w:w="2476"/>
        <w:gridCol w:w="4110"/>
      </w:tblGrid>
      <w:tr w14:paraId="69E962AE">
        <w:tblPrEx>
          <w:shd w:val="clear" w:color="auto" w:fill="FFFFFF" w:themeFill="background1"/>
          <w:tblCellMar>
            <w:top w:w="0" w:type="dxa"/>
            <w:left w:w="108" w:type="dxa"/>
            <w:bottom w:w="0" w:type="dxa"/>
            <w:right w:w="108" w:type="dxa"/>
          </w:tblCellMar>
        </w:tblPrEx>
        <w:trPr>
          <w:trHeight w:val="720" w:hRule="atLeast"/>
          <w:jc w:val="center"/>
        </w:trPr>
        <w:tc>
          <w:tcPr>
            <w:tcW w:w="2476" w:type="dxa"/>
            <w:tcBorders>
              <w:top w:val="single" w:color="auto" w:sz="8" w:space="0"/>
              <w:left w:val="single" w:color="auto" w:sz="8" w:space="0"/>
              <w:bottom w:val="single" w:color="auto" w:sz="8" w:space="0"/>
              <w:right w:val="single" w:color="auto" w:sz="8" w:space="0"/>
              <w:tl2br w:val="nil"/>
              <w:tr2bl w:val="nil"/>
            </w:tcBorders>
            <w:shd w:val="clear" w:color="auto" w:fill="FFFFFF" w:themeFill="background1"/>
            <w:vAlign w:val="center"/>
          </w:tcPr>
          <w:p w14:paraId="67C2ECC7">
            <w:r>
              <w:rPr>
                <w:rFonts w:hint="eastAsia"/>
              </w:rPr>
              <w:t>主要参数</w:t>
            </w:r>
          </w:p>
        </w:tc>
        <w:tc>
          <w:tcPr>
            <w:tcW w:w="4110" w:type="dxa"/>
            <w:tcBorders>
              <w:top w:val="single" w:color="auto" w:sz="8" w:space="0"/>
              <w:left w:val="nil"/>
              <w:bottom w:val="single" w:color="auto" w:sz="8" w:space="0"/>
              <w:right w:val="single" w:color="auto" w:sz="8" w:space="0"/>
              <w:tl2br w:val="nil"/>
              <w:tr2bl w:val="nil"/>
            </w:tcBorders>
            <w:shd w:val="clear" w:color="auto" w:fill="FFFFFF" w:themeFill="background1"/>
            <w:vAlign w:val="center"/>
          </w:tcPr>
          <w:p w14:paraId="2A8CCDB9">
            <w:r>
              <w:rPr>
                <w:rFonts w:hint="eastAsia"/>
              </w:rPr>
              <w:t>参数范围</w:t>
            </w:r>
          </w:p>
        </w:tc>
      </w:tr>
      <w:tr w14:paraId="007FF738">
        <w:tblPrEx>
          <w:shd w:val="clear" w:color="auto" w:fill="FFFFFF" w:themeFill="background1"/>
          <w:tblCellMar>
            <w:top w:w="0" w:type="dxa"/>
            <w:left w:w="108" w:type="dxa"/>
            <w:bottom w:w="0" w:type="dxa"/>
            <w:right w:w="108" w:type="dxa"/>
          </w:tblCellMar>
        </w:tblPrEx>
        <w:trPr>
          <w:trHeight w:val="972" w:hRule="atLeast"/>
          <w:jc w:val="center"/>
        </w:trPr>
        <w:tc>
          <w:tcPr>
            <w:tcW w:w="2476" w:type="dxa"/>
            <w:tcBorders>
              <w:top w:val="nil"/>
              <w:left w:val="single" w:color="auto" w:sz="8" w:space="0"/>
              <w:bottom w:val="single" w:color="auto" w:sz="8" w:space="0"/>
              <w:right w:val="single" w:color="auto" w:sz="8" w:space="0"/>
              <w:tl2br w:val="nil"/>
              <w:tr2bl w:val="nil"/>
            </w:tcBorders>
            <w:shd w:val="clear" w:color="auto" w:fill="FFFFFF" w:themeFill="background1"/>
            <w:vAlign w:val="center"/>
          </w:tcPr>
          <w:p w14:paraId="3BB6E1BB">
            <w:r>
              <w:rPr>
                <w:rFonts w:hint="eastAsia"/>
              </w:rPr>
              <w:t>测量深度（m）</w:t>
            </w:r>
          </w:p>
        </w:tc>
        <w:tc>
          <w:tcPr>
            <w:tcW w:w="4110" w:type="dxa"/>
            <w:tcBorders>
              <w:top w:val="nil"/>
              <w:left w:val="nil"/>
              <w:bottom w:val="single" w:color="auto" w:sz="8" w:space="0"/>
              <w:right w:val="single" w:color="auto" w:sz="8" w:space="0"/>
              <w:tl2br w:val="nil"/>
              <w:tr2bl w:val="nil"/>
            </w:tcBorders>
            <w:shd w:val="clear" w:color="auto" w:fill="FFFFFF" w:themeFill="background1"/>
            <w:vAlign w:val="center"/>
          </w:tcPr>
          <w:p w14:paraId="785F9B6F">
            <w:pPr>
              <w:rPr>
                <w:highlight w:val="yellow"/>
              </w:rPr>
            </w:pPr>
            <w:r>
              <w:rPr>
                <w:rFonts w:hint="eastAsia"/>
                <w:highlight w:val="yellow"/>
              </w:rPr>
              <w:t>0～100</w:t>
            </w:r>
          </w:p>
          <w:p w14:paraId="44592674"/>
        </w:tc>
      </w:tr>
      <w:tr w14:paraId="49DE7D07">
        <w:tblPrEx>
          <w:shd w:val="clear" w:color="auto" w:fill="FFFFFF" w:themeFill="background1"/>
          <w:tblCellMar>
            <w:top w:w="0" w:type="dxa"/>
            <w:left w:w="108" w:type="dxa"/>
            <w:bottom w:w="0" w:type="dxa"/>
            <w:right w:w="108" w:type="dxa"/>
          </w:tblCellMar>
        </w:tblPrEx>
        <w:trPr>
          <w:trHeight w:val="972" w:hRule="atLeast"/>
          <w:jc w:val="center"/>
        </w:trPr>
        <w:tc>
          <w:tcPr>
            <w:tcW w:w="2476" w:type="dxa"/>
            <w:tcBorders>
              <w:top w:val="nil"/>
              <w:left w:val="single" w:color="auto" w:sz="8" w:space="0"/>
              <w:bottom w:val="single" w:color="auto" w:sz="8" w:space="0"/>
              <w:right w:val="single" w:color="auto" w:sz="8" w:space="0"/>
              <w:tl2br w:val="nil"/>
              <w:tr2bl w:val="nil"/>
            </w:tcBorders>
            <w:shd w:val="clear" w:color="auto" w:fill="FFFFFF" w:themeFill="background1"/>
            <w:vAlign w:val="center"/>
          </w:tcPr>
          <w:p w14:paraId="32F52C9E">
            <w:r>
              <w:rPr>
                <w:rFonts w:hint="eastAsia"/>
              </w:rPr>
              <w:t>探测器直径</w:t>
            </w:r>
          </w:p>
        </w:tc>
        <w:tc>
          <w:tcPr>
            <w:tcW w:w="4110" w:type="dxa"/>
            <w:tcBorders>
              <w:top w:val="nil"/>
              <w:left w:val="nil"/>
              <w:bottom w:val="single" w:color="auto" w:sz="8" w:space="0"/>
              <w:right w:val="single" w:color="auto" w:sz="8" w:space="0"/>
              <w:tl2br w:val="nil"/>
              <w:tr2bl w:val="nil"/>
            </w:tcBorders>
            <w:shd w:val="clear" w:color="auto" w:fill="FFFFFF" w:themeFill="background1"/>
            <w:vAlign w:val="center"/>
          </w:tcPr>
          <w:p w14:paraId="04CB3E69">
            <w:r>
              <w:rPr>
                <w:rFonts w:hint="eastAsia"/>
                <w:bCs/>
                <w:color w:val="0000FF"/>
                <w:highlight w:val="none"/>
              </w:rPr>
              <w:t>25mm</w:t>
            </w:r>
            <w:r>
              <w:rPr>
                <w:rFonts w:hint="eastAsia"/>
                <w:color w:val="0000FF"/>
                <w:lang w:val="en-US" w:eastAsia="zh-CN"/>
              </w:rPr>
              <w:t>（±2mm)</w:t>
            </w:r>
          </w:p>
        </w:tc>
      </w:tr>
      <w:tr w14:paraId="19ADA8CA">
        <w:tblPrEx>
          <w:shd w:val="clear" w:color="auto" w:fill="FFFFFF" w:themeFill="background1"/>
          <w:tblCellMar>
            <w:top w:w="0" w:type="dxa"/>
            <w:left w:w="108" w:type="dxa"/>
            <w:bottom w:w="0" w:type="dxa"/>
            <w:right w:w="108" w:type="dxa"/>
          </w:tblCellMar>
        </w:tblPrEx>
        <w:trPr>
          <w:trHeight w:val="972" w:hRule="atLeast"/>
          <w:jc w:val="center"/>
        </w:trPr>
        <w:tc>
          <w:tcPr>
            <w:tcW w:w="2476" w:type="dxa"/>
            <w:tcBorders>
              <w:top w:val="nil"/>
              <w:left w:val="single" w:color="auto" w:sz="8" w:space="0"/>
              <w:bottom w:val="single" w:color="auto" w:sz="8" w:space="0"/>
              <w:right w:val="single" w:color="auto" w:sz="8" w:space="0"/>
              <w:tl2br w:val="nil"/>
              <w:tr2bl w:val="nil"/>
            </w:tcBorders>
            <w:shd w:val="clear" w:color="auto" w:fill="FFFFFF" w:themeFill="background1"/>
            <w:vAlign w:val="center"/>
          </w:tcPr>
          <w:p w14:paraId="25A86638">
            <w:r>
              <w:rPr>
                <w:rFonts w:hint="eastAsia"/>
              </w:rPr>
              <w:t>最小读数（㎜）</w:t>
            </w:r>
          </w:p>
        </w:tc>
        <w:tc>
          <w:tcPr>
            <w:tcW w:w="4110" w:type="dxa"/>
            <w:tcBorders>
              <w:top w:val="single" w:color="auto" w:sz="8" w:space="0"/>
              <w:left w:val="nil"/>
              <w:bottom w:val="single" w:color="auto" w:sz="8" w:space="0"/>
              <w:right w:val="single" w:color="auto" w:sz="8" w:space="0"/>
              <w:tl2br w:val="nil"/>
              <w:tr2bl w:val="nil"/>
            </w:tcBorders>
            <w:shd w:val="clear" w:color="auto" w:fill="FFFFFF" w:themeFill="background1"/>
            <w:vAlign w:val="center"/>
          </w:tcPr>
          <w:p w14:paraId="7BC2E10D">
            <w:r>
              <w:rPr>
                <w:rFonts w:hint="eastAsia"/>
              </w:rPr>
              <w:t>1</w:t>
            </w:r>
          </w:p>
        </w:tc>
      </w:tr>
      <w:tr w14:paraId="48486FA0">
        <w:tblPrEx>
          <w:shd w:val="clear" w:color="auto" w:fill="FFFFFF" w:themeFill="background1"/>
          <w:tblCellMar>
            <w:top w:w="0" w:type="dxa"/>
            <w:left w:w="108" w:type="dxa"/>
            <w:bottom w:w="0" w:type="dxa"/>
            <w:right w:w="108" w:type="dxa"/>
          </w:tblCellMar>
        </w:tblPrEx>
        <w:trPr>
          <w:trHeight w:val="972" w:hRule="atLeast"/>
          <w:jc w:val="center"/>
        </w:trPr>
        <w:tc>
          <w:tcPr>
            <w:tcW w:w="2476" w:type="dxa"/>
            <w:tcBorders>
              <w:top w:val="nil"/>
              <w:left w:val="single" w:color="auto" w:sz="8" w:space="0"/>
              <w:bottom w:val="single" w:color="auto" w:sz="8" w:space="0"/>
              <w:right w:val="single" w:color="auto" w:sz="8" w:space="0"/>
              <w:tl2br w:val="nil"/>
              <w:tr2bl w:val="nil"/>
            </w:tcBorders>
            <w:shd w:val="clear" w:color="auto" w:fill="FFFFFF" w:themeFill="background1"/>
            <w:vAlign w:val="center"/>
          </w:tcPr>
          <w:p w14:paraId="1B9B9134">
            <w:r>
              <w:rPr>
                <w:rFonts w:hint="eastAsia"/>
              </w:rPr>
              <w:t>重复性误差（㎜）</w:t>
            </w:r>
          </w:p>
        </w:tc>
        <w:tc>
          <w:tcPr>
            <w:tcW w:w="4110" w:type="dxa"/>
            <w:tcBorders>
              <w:top w:val="single" w:color="auto" w:sz="8" w:space="0"/>
              <w:left w:val="nil"/>
              <w:bottom w:val="single" w:color="auto" w:sz="8" w:space="0"/>
              <w:right w:val="single" w:color="auto" w:sz="8" w:space="0"/>
              <w:tl2br w:val="nil"/>
              <w:tr2bl w:val="nil"/>
            </w:tcBorders>
            <w:shd w:val="clear" w:color="auto" w:fill="FFFFFF" w:themeFill="background1"/>
            <w:vAlign w:val="center"/>
          </w:tcPr>
          <w:p w14:paraId="211DF225">
            <w:r>
              <w:rPr>
                <w:rFonts w:hint="eastAsia"/>
              </w:rPr>
              <w:t>±2.0</w:t>
            </w:r>
          </w:p>
        </w:tc>
      </w:tr>
    </w:tbl>
    <w:p w14:paraId="0ED5EC46">
      <w:pPr>
        <w:spacing w:line="360" w:lineRule="auto"/>
      </w:pPr>
    </w:p>
    <w:p w14:paraId="56616297">
      <w:pPr>
        <w:spacing w:line="360" w:lineRule="auto"/>
      </w:pPr>
    </w:p>
    <w:p w14:paraId="7E10780C">
      <w:pPr>
        <w:spacing w:line="360" w:lineRule="auto"/>
      </w:pPr>
    </w:p>
    <w:p w14:paraId="1E17D82B">
      <w:pPr>
        <w:jc w:val="center"/>
        <w:rPr>
          <w:b/>
          <w:sz w:val="32"/>
          <w:szCs w:val="32"/>
        </w:rPr>
      </w:pPr>
      <w:r>
        <w:rPr>
          <w:rFonts w:hint="eastAsia"/>
          <w:b/>
          <w:sz w:val="32"/>
          <w:szCs w:val="32"/>
        </w:rPr>
        <w:t>三．土壤多参数速测仪招标参数</w:t>
      </w:r>
    </w:p>
    <w:p w14:paraId="5E4B36DE">
      <w:r>
        <w:rPr>
          <w:rFonts w:hint="eastAsia"/>
        </w:rPr>
        <w:t>1. 土壤水分：</w:t>
      </w:r>
    </w:p>
    <w:p w14:paraId="5AA2D71C">
      <w:r>
        <w:rPr>
          <w:rFonts w:hint="eastAsia"/>
        </w:rPr>
        <w:t>基于TDR（Time domain Reflectometry with Intelligent MicroElements）时域反射技术。用以直接测量土壤或其他介质的介电常数，介电常数又与土壤水分含量的多少有密切关系，土壤含水量即可通过模拟电压输出被读数系统计算并显示出来体积小，携带方便</w:t>
      </w:r>
    </w:p>
    <w:p w14:paraId="3D5C3369">
      <w:r>
        <w:rPr>
          <w:rFonts w:hint="eastAsia"/>
        </w:rPr>
        <w:t>1.1 电容式土壤水分传感器</w:t>
      </w:r>
    </w:p>
    <w:p w14:paraId="461DCEC7">
      <w:r>
        <w:rPr>
          <w:rFonts w:hint="eastAsia"/>
        </w:rPr>
        <w:t>1.2 水分测量量程：0-饱和 VWC</w:t>
      </w:r>
    </w:p>
    <w:p w14:paraId="1F150A02">
      <w:r>
        <w:rPr>
          <w:rFonts w:hint="eastAsia"/>
        </w:rPr>
        <w:t>1.3 水分测量分辨率：≥0.1%</w:t>
      </w:r>
    </w:p>
    <w:p w14:paraId="00977D95">
      <w:r>
        <w:rPr>
          <w:rFonts w:hint="eastAsia"/>
        </w:rPr>
        <w:t>1.4 水分测量精度：±3%（体积含水量）</w:t>
      </w:r>
    </w:p>
    <w:p w14:paraId="16D33CD8">
      <w:pPr>
        <w:pStyle w:val="11"/>
        <w:ind w:firstLine="0" w:firstLineChars="0"/>
      </w:pPr>
      <w:r>
        <w:rPr>
          <w:rFonts w:hint="eastAsia"/>
        </w:rPr>
        <w:t>2. 土壤PH参数：</w:t>
      </w:r>
    </w:p>
    <w:p w14:paraId="0326C09A">
      <w:r>
        <w:rPr>
          <w:rFonts w:hint="eastAsia"/>
          <w:color w:val="C00000"/>
        </w:rPr>
        <w:t>2.1</w:t>
      </w:r>
      <w:r>
        <w:rPr>
          <w:rFonts w:hint="eastAsia"/>
        </w:rPr>
        <w:t xml:space="preserve"> 探头为扁平设计，可快速方便地测得固体、半固体物质和溶液的PH </w:t>
      </w:r>
    </w:p>
    <w:p w14:paraId="1E2F24FD">
      <w:r>
        <w:rPr>
          <w:rFonts w:hint="eastAsia"/>
        </w:rPr>
        <w:t>2.2  1 点或 2 点校准：自动识别缓冲溶液 ，自动温度补偿 ， 同时显示 pH 值和温度</w:t>
      </w:r>
    </w:p>
    <w:p w14:paraId="27AD16A3">
      <w:r>
        <w:rPr>
          <w:rFonts w:hint="eastAsia"/>
        </w:rPr>
        <w:t>2.3 记录和回查 15 个数据记录</w:t>
      </w:r>
    </w:p>
    <w:p w14:paraId="4176AD69">
      <w:r>
        <w:rPr>
          <w:rFonts w:hint="eastAsia"/>
        </w:rPr>
        <w:t>2.4 显示： 数字LCD显示屏</w:t>
      </w:r>
    </w:p>
    <w:p w14:paraId="173BAA62">
      <w:r>
        <w:rPr>
          <w:rFonts w:hint="eastAsia"/>
        </w:rPr>
        <w:t>2.5 pH测量范围： 0.00~14.00 pH</w:t>
      </w:r>
    </w:p>
    <w:p w14:paraId="2058371D">
      <w:r>
        <w:rPr>
          <w:rFonts w:hint="eastAsia"/>
        </w:rPr>
        <w:t>2.6 pH分辨率： ≥0.01 pH</w:t>
      </w:r>
    </w:p>
    <w:p w14:paraId="39F7CC6D">
      <w:r>
        <w:rPr>
          <w:rFonts w:hint="eastAsia"/>
        </w:rPr>
        <w:t>2.7 pH精度： ±0.01 pH</w:t>
      </w:r>
    </w:p>
    <w:p w14:paraId="14EE4F1F">
      <w:r>
        <w:rPr>
          <w:rFonts w:hint="eastAsia"/>
        </w:rPr>
        <w:t>2.8 工作环境 0~50℃，小于80%RH</w:t>
      </w:r>
    </w:p>
    <w:p w14:paraId="3BD51821">
      <w:r>
        <w:rPr>
          <w:rFonts w:hint="eastAsia"/>
        </w:rPr>
        <w:t>2.9 温度测量范围： -5℃~+90℃</w:t>
      </w:r>
    </w:p>
    <w:p w14:paraId="67503E85">
      <w:r>
        <w:rPr>
          <w:rFonts w:hint="eastAsia"/>
        </w:rPr>
        <w:t>2.10 温度分辨率： 0.1℃/1℃</w:t>
      </w:r>
    </w:p>
    <w:p w14:paraId="176B2337">
      <w:r>
        <w:rPr>
          <w:rFonts w:hint="eastAsia"/>
        </w:rPr>
        <w:t>2.11 温度精度： ±1℃（-5~+50℃），±3℃（+50~+90℃）</w:t>
      </w:r>
    </w:p>
    <w:p w14:paraId="32A9EF36">
      <w:r>
        <w:rPr>
          <w:rFonts w:hint="eastAsia"/>
        </w:rPr>
        <w:t>3．</w:t>
      </w:r>
      <w:r>
        <w:rPr>
          <w:rFonts w:hint="eastAsia"/>
          <w:b/>
          <w:bCs/>
        </w:rPr>
        <w:t>土壤EC</w:t>
      </w:r>
      <w:r>
        <w:rPr>
          <w:rFonts w:hint="eastAsia"/>
        </w:rPr>
        <w:t>电导率参数</w:t>
      </w:r>
    </w:p>
    <w:p w14:paraId="38900651">
      <w:r>
        <w:rPr>
          <w:rFonts w:hint="eastAsia"/>
          <w:color w:val="C00000"/>
        </w:rPr>
        <w:t>3.1</w:t>
      </w:r>
      <w:r>
        <w:rPr>
          <w:rFonts w:hint="eastAsia"/>
        </w:rPr>
        <w:t xml:space="preserve"> </w:t>
      </w:r>
      <w:r>
        <w:rPr>
          <w:rFonts w:hint="eastAsia"/>
          <w:b/>
          <w:bCs/>
        </w:rPr>
        <w:t>土壤EC</w:t>
      </w:r>
      <w:r>
        <w:rPr>
          <w:rFonts w:hint="eastAsia"/>
        </w:rPr>
        <w:t>电导率测量：可以直接对水培/无土栽培/户外土地直接测量，无需前处理工作</w:t>
      </w:r>
    </w:p>
    <w:p w14:paraId="0DE97000">
      <w:r>
        <w:rPr>
          <w:rFonts w:hint="eastAsia"/>
          <w:color w:val="C00000"/>
        </w:rPr>
        <w:t xml:space="preserve">3.2 </w:t>
      </w:r>
      <w:r>
        <w:rPr>
          <w:rFonts w:hint="eastAsia"/>
        </w:rPr>
        <w:t>量程： 0～20mS/cm</w:t>
      </w:r>
    </w:p>
    <w:p w14:paraId="24B16B65">
      <w:r>
        <w:rPr>
          <w:rFonts w:hint="eastAsia"/>
        </w:rPr>
        <w:t>3.3 分辨率：≥0.01 mS/cm</w:t>
      </w:r>
    </w:p>
    <w:p w14:paraId="247704EE">
      <w:r>
        <w:rPr>
          <w:rFonts w:hint="eastAsia"/>
        </w:rPr>
        <w:t>3.4 测量精度：EC ±2% ；温度：±0.5℃</w:t>
      </w:r>
    </w:p>
    <w:p w14:paraId="79D6A419">
      <w:pPr>
        <w:spacing w:line="360" w:lineRule="auto"/>
      </w:pPr>
      <w:r>
        <w:rPr>
          <w:rFonts w:hint="eastAsia"/>
        </w:rPr>
        <w:t>3.5 温度补偿：0-50℃</w:t>
      </w:r>
    </w:p>
    <w:p w14:paraId="1FF6F385">
      <w:pPr>
        <w:spacing w:line="360" w:lineRule="auto"/>
      </w:pPr>
    </w:p>
    <w:p w14:paraId="53A1AE6C">
      <w:pPr>
        <w:spacing w:line="360" w:lineRule="auto"/>
      </w:pPr>
    </w:p>
    <w:p w14:paraId="352EFA6A">
      <w:pPr>
        <w:spacing w:line="360" w:lineRule="auto"/>
      </w:pPr>
    </w:p>
    <w:p w14:paraId="056B049D">
      <w:pPr>
        <w:jc w:val="center"/>
        <w:rPr>
          <w:b/>
          <w:sz w:val="32"/>
          <w:szCs w:val="32"/>
        </w:rPr>
      </w:pPr>
      <w:r>
        <w:rPr>
          <w:rFonts w:hint="eastAsia"/>
          <w:b/>
          <w:sz w:val="32"/>
          <w:szCs w:val="32"/>
        </w:rPr>
        <w:t>四．人工气候箱招标参数</w:t>
      </w:r>
    </w:p>
    <w:p w14:paraId="5D0FCDAD">
      <w:r>
        <w:rPr>
          <w:rFonts w:hint="eastAsia"/>
        </w:rPr>
        <w:t>1．产品特点</w:t>
      </w:r>
    </w:p>
    <w:p w14:paraId="68406B26">
      <w:r>
        <w:rPr>
          <w:rFonts w:hint="eastAsia"/>
        </w:rPr>
        <w:t>1.1 外箱材质：冷轧钢板表面喷塑，内部材质：SUS304不锈钢板。</w:t>
      </w:r>
    </w:p>
    <w:p w14:paraId="0AB22E97">
      <w:r>
        <w:rPr>
          <w:rFonts w:hint="eastAsia"/>
        </w:rPr>
        <w:t>1.2 微电脑智能</w:t>
      </w:r>
      <w:r>
        <w:t>P.I.D</w:t>
      </w:r>
      <w:r>
        <w:rPr>
          <w:rFonts w:hint="eastAsia"/>
        </w:rPr>
        <w:t>温度控制器，控温精准；具有参数记忆功能，来电自动恢复运行。</w:t>
      </w:r>
    </w:p>
    <w:p w14:paraId="0A16F824">
      <w:r>
        <w:rPr>
          <w:rFonts w:hint="eastAsia"/>
        </w:rPr>
        <w:t>1.3 采用</w:t>
      </w:r>
      <w:r>
        <w:rPr>
          <w:rFonts w:hint="eastAsia"/>
          <w:lang w:val="en-US" w:eastAsia="zh-CN"/>
        </w:rPr>
        <w:t>无</w:t>
      </w:r>
      <w:r>
        <w:rPr>
          <w:rFonts w:hint="eastAsia"/>
        </w:rPr>
        <w:t>氟环保制冷剂。</w:t>
      </w:r>
    </w:p>
    <w:p w14:paraId="59BE1BC3">
      <w:r>
        <w:rPr>
          <w:rFonts w:hint="eastAsia"/>
        </w:rPr>
        <w:t>1.4 内箱装有风机形成微气流循环，提高箱内温度均匀度。</w:t>
      </w:r>
    </w:p>
    <w:p w14:paraId="3F9B2105">
      <w:r>
        <w:rPr>
          <w:rFonts w:hint="eastAsia"/>
        </w:rPr>
        <w:t>1.5 配高内置水箱及自动补水接口。</w:t>
      </w:r>
    </w:p>
    <w:p w14:paraId="680D9E2B">
      <w:r>
        <w:rPr>
          <w:rFonts w:hint="eastAsia"/>
        </w:rPr>
        <w:t>1.6 无加湿用水时，自动断开加湿加热器电源。</w:t>
      </w:r>
    </w:p>
    <w:p w14:paraId="0D705396">
      <w:r>
        <w:rPr>
          <w:rFonts w:hint="eastAsia"/>
        </w:rPr>
        <w:t>1.7 内箱采用圆弧结构设计。</w:t>
      </w:r>
    </w:p>
    <w:p w14:paraId="0C5A15DF">
      <w:r>
        <w:rPr>
          <w:rFonts w:hint="eastAsia"/>
        </w:rPr>
        <w:t>1.8 可抽拉活动式搁板，间距可调。</w:t>
      </w:r>
    </w:p>
    <w:p w14:paraId="7DAC9D03">
      <w:r>
        <w:rPr>
          <w:rFonts w:hint="eastAsia"/>
        </w:rPr>
        <w:t>1.9 脚轮设计。</w:t>
      </w:r>
    </w:p>
    <w:p w14:paraId="7C012A52">
      <w:r>
        <w:rPr>
          <w:rFonts w:hint="eastAsia"/>
        </w:rPr>
        <w:t>1.10 标配ø</w:t>
      </w:r>
      <w:r>
        <w:t>35mm</w:t>
      </w:r>
      <w:r>
        <w:rPr>
          <w:rFonts w:hint="eastAsia"/>
        </w:rPr>
        <w:t>测试孔。</w:t>
      </w:r>
    </w:p>
    <w:p w14:paraId="4D307655">
      <w:r>
        <w:rPr>
          <w:rFonts w:hint="eastAsia"/>
        </w:rPr>
        <w:t>1.11 标配</w:t>
      </w:r>
      <w:r>
        <w:t>USB</w:t>
      </w:r>
      <w:r>
        <w:rPr>
          <w:rFonts w:hint="eastAsia"/>
        </w:rPr>
        <w:t>数据储存器。</w:t>
      </w:r>
    </w:p>
    <w:p w14:paraId="0A0DAFCA">
      <w:r>
        <w:rPr>
          <w:rFonts w:hint="eastAsia"/>
        </w:rPr>
        <w:t>2．技术参数</w:t>
      </w:r>
    </w:p>
    <w:p w14:paraId="54B56B2E">
      <w:r>
        <w:rPr>
          <w:rFonts w:hint="eastAsia"/>
        </w:rPr>
        <w:t>2.1 温度范围：有光照10℃~65℃，无光照0°C~65℃</w:t>
      </w:r>
    </w:p>
    <w:p w14:paraId="72196553">
      <w:r>
        <w:rPr>
          <w:rFonts w:hint="eastAsia"/>
        </w:rPr>
        <w:t>2.2 湿度范围：40%RH~95%RH（箱温大于10℃）</w:t>
      </w:r>
    </w:p>
    <w:p w14:paraId="3B3B0085">
      <w:r>
        <w:rPr>
          <w:rFonts w:hint="eastAsia"/>
        </w:rPr>
        <w:t>2.3 温度均匀度：±1°C</w:t>
      </w:r>
    </w:p>
    <w:p w14:paraId="7C949B61">
      <w:r>
        <w:rPr>
          <w:rFonts w:hint="eastAsia"/>
        </w:rPr>
        <w:t>2.4 温度波动度：±0.5°C</w:t>
      </w:r>
    </w:p>
    <w:p w14:paraId="63D591D6">
      <w:r>
        <w:rPr>
          <w:rFonts w:hint="eastAsia"/>
        </w:rPr>
        <w:t>2.5 湿度波动度：±3%RH</w:t>
      </w:r>
    </w:p>
    <w:p w14:paraId="74EE0930">
      <w:r>
        <w:rPr>
          <w:rFonts w:hint="eastAsia"/>
        </w:rPr>
        <w:t>2.6 温湿度显示精度：0.1°C，1%RH</w:t>
      </w:r>
    </w:p>
    <w:p w14:paraId="3CAEE2E3">
      <w:r>
        <w:rPr>
          <w:rFonts w:hint="eastAsia"/>
        </w:rPr>
        <w:t>2.7 温湿度控制精度：±0.1°C，±1%RH</w:t>
      </w:r>
    </w:p>
    <w:p w14:paraId="680214C4">
      <w:r>
        <w:rPr>
          <w:rFonts w:hint="eastAsia"/>
        </w:rPr>
        <w:t>2.8 加湿方式：内置电热加湿水槽</w:t>
      </w:r>
    </w:p>
    <w:p w14:paraId="54214E02">
      <w:r>
        <w:rPr>
          <w:rFonts w:hint="eastAsia"/>
        </w:rPr>
        <w:t>2.9 光照度：单面光照6000LX，LED光源</w:t>
      </w:r>
    </w:p>
    <w:p w14:paraId="5A74F29C">
      <w:r>
        <w:rPr>
          <w:rFonts w:hint="eastAsia"/>
        </w:rPr>
        <w:t>2.10 光照度调节分级：5级可调</w:t>
      </w:r>
    </w:p>
    <w:p w14:paraId="3D7E48E0">
      <w:r>
        <w:rPr>
          <w:rFonts w:hint="eastAsia"/>
        </w:rPr>
        <w:t>2.11 箱内循环方式：微风搅拌方式</w:t>
      </w:r>
    </w:p>
    <w:p w14:paraId="45A0F53C">
      <w:r>
        <w:rPr>
          <w:rFonts w:hint="eastAsia"/>
        </w:rPr>
        <w:t>2.12 报警类型：超温、欠温报警、温度探头损坏报警、湿度探头损坏报警</w:t>
      </w:r>
    </w:p>
    <w:p w14:paraId="7FA514ED">
      <w:r>
        <w:rPr>
          <w:rFonts w:hint="eastAsia"/>
        </w:rPr>
        <w:t>2.13 温度控制器：LCD液晶屏，P.I.D温度控制器，24段程序</w:t>
      </w:r>
    </w:p>
    <w:p w14:paraId="7A262AEE">
      <w:r>
        <w:rPr>
          <w:rFonts w:hint="eastAsia"/>
        </w:rPr>
        <w:t>2.14 内部尺寸≥W×D×H（cm）：80×71×91</w:t>
      </w:r>
    </w:p>
    <w:p w14:paraId="28D7CB34">
      <w:r>
        <w:rPr>
          <w:rFonts w:hint="eastAsia"/>
        </w:rPr>
        <w:t>2.15.内部容积（L）：≥516</w:t>
      </w:r>
    </w:p>
    <w:p w14:paraId="79091AA5">
      <w:r>
        <w:rPr>
          <w:rFonts w:hint="eastAsia"/>
        </w:rPr>
        <w:t>2.18.搁板（块）：≥3</w:t>
      </w:r>
    </w:p>
    <w:p w14:paraId="103B5FA9">
      <w:pPr>
        <w:spacing w:line="360" w:lineRule="auto"/>
      </w:pPr>
    </w:p>
    <w:p w14:paraId="2541AD15">
      <w:pPr>
        <w:spacing w:line="360" w:lineRule="auto"/>
      </w:pPr>
    </w:p>
    <w:p w14:paraId="6679F0F0">
      <w:pPr>
        <w:jc w:val="center"/>
        <w:rPr>
          <w:b/>
          <w:sz w:val="32"/>
          <w:szCs w:val="32"/>
        </w:rPr>
      </w:pPr>
      <w:r>
        <w:rPr>
          <w:rFonts w:hint="eastAsia"/>
          <w:b/>
          <w:sz w:val="32"/>
          <w:szCs w:val="32"/>
        </w:rPr>
        <w:t>五．微波消解仪招标参数</w:t>
      </w:r>
    </w:p>
    <w:p w14:paraId="1E8080A9">
      <w:r>
        <w:rPr>
          <w:rFonts w:hint="eastAsia"/>
        </w:rPr>
        <w:t>1.技术参数：</w:t>
      </w:r>
    </w:p>
    <w:p w14:paraId="0D9613E2">
      <w:r>
        <w:rPr>
          <w:rFonts w:hint="eastAsia"/>
        </w:rPr>
        <w:t>1.1主机</w:t>
      </w:r>
    </w:p>
    <w:p w14:paraId="46AC1A4F">
      <w:r>
        <w:rPr>
          <w:rFonts w:hint="eastAsia"/>
          <w:color w:val="C00000"/>
        </w:rPr>
        <w:t xml:space="preserve">1.1.1 </w:t>
      </w:r>
      <w:r>
        <w:rPr>
          <w:rFonts w:hint="eastAsia"/>
        </w:rPr>
        <w:t>立方体设计微波谐振腔，腔体容积≥70L（提供第三方检测机构检测报告和腔体实际测量尺寸图片）。</w:t>
      </w:r>
    </w:p>
    <w:p w14:paraId="444CA060">
      <w:r>
        <w:rPr>
          <w:rFonts w:hint="eastAsia"/>
        </w:rPr>
        <w:t>1.1.2 工业双磁控管设计，两个磁控管均位于腔体顶部，微波输出功率≥1900W。</w:t>
      </w:r>
    </w:p>
    <w:p w14:paraId="42BB4A28">
      <w:r>
        <w:rPr>
          <w:rFonts w:hint="eastAsia"/>
        </w:rPr>
        <w:t xml:space="preserve">1.1.3 微波腔体门体和主机外壳均采用全不锈钢材质，与微波能够自由穿透的塑料材质相比，具有多重微波屏蔽功能。满功率工作时，微波泄漏量≤0.05mW/cm2. </w:t>
      </w:r>
    </w:p>
    <w:p w14:paraId="1294714E">
      <w:r>
        <w:rPr>
          <w:rFonts w:hint="eastAsia"/>
          <w:color w:val="C00000"/>
        </w:rPr>
        <w:t>1.1.4</w:t>
      </w:r>
      <w:r>
        <w:rPr>
          <w:rFonts w:hint="eastAsia"/>
        </w:rPr>
        <w:t xml:space="preserve"> 微波门体为双层全不锈钢材质，不得采用塑料和玻璃等材质，有效防爆和防微波泄露作用；（提供第三方检测机构检测报告和实物图片）采用侧开门方式，方便操作，非顶置式开门方式。</w:t>
      </w:r>
    </w:p>
    <w:p w14:paraId="5B97CA25">
      <w:r>
        <w:rPr>
          <w:rFonts w:hint="eastAsia"/>
        </w:rPr>
        <w:t>1.1.5 门体可自吸式关闭，避免关门不严微波泄漏。</w:t>
      </w:r>
    </w:p>
    <w:p w14:paraId="34144FFE">
      <w:r>
        <w:rPr>
          <w:rFonts w:hint="eastAsia"/>
        </w:rPr>
        <w:t>1.1.6 智能电子锁系统，当微波工作时，门自动锁闭，门打开时，微波自动切断，开门软件控制，防止被随意打开。具有电子温度门锁，锁闭温度可通过软件设定（提供温度门锁设定软件截图）。</w:t>
      </w:r>
    </w:p>
    <w:p w14:paraId="43567BAB">
      <w:r>
        <w:rPr>
          <w:rFonts w:hint="eastAsia"/>
        </w:rPr>
        <w:t>1.1.7 高分辨率彩色触摸式智能控制终端，图标式菜单，一键操作智能消解。</w:t>
      </w:r>
    </w:p>
    <w:p w14:paraId="505065DC">
      <w:r>
        <w:rPr>
          <w:rFonts w:hint="eastAsia"/>
        </w:rPr>
        <w:t>1.1.8 可随时修改正在运行的方法参数，修改后无需停止方法自动识别修改内容。具有智能程序升温、梯度升温功能，升温速度和时间软件设定，实时精确显示反应罐内的温度曲线和温度功率曲线。</w:t>
      </w:r>
    </w:p>
    <w:p w14:paraId="640D9C9C">
      <w:r>
        <w:rPr>
          <w:rFonts w:hint="eastAsia"/>
        </w:rPr>
        <w:t>1.1.9 全自动消解罐识别系统，根据用户消解样品的数量和消解罐类型，全自动调节微波输出功率大小，确保每次试验的重现性。</w:t>
      </w:r>
    </w:p>
    <w:p w14:paraId="6140EC40">
      <w:r>
        <w:rPr>
          <w:rFonts w:hint="eastAsia"/>
        </w:rPr>
        <w:t>1.1.10 包含多语言操作系统，含中英文操作界面。</w:t>
      </w:r>
    </w:p>
    <w:p w14:paraId="26D71689">
      <w:r>
        <w:rPr>
          <w:rFonts w:hint="eastAsia"/>
        </w:rPr>
        <w:t>1.1.11 软件具有用户分级权限管理，支持四级权限管理。（提供第三方检测机构检测报告和软件截图）</w:t>
      </w:r>
    </w:p>
    <w:p w14:paraId="16C277DE">
      <w:r>
        <w:rPr>
          <w:rFonts w:hint="eastAsia"/>
        </w:rPr>
        <w:t>1.2 温度和压力控制部分</w:t>
      </w:r>
    </w:p>
    <w:p w14:paraId="1B2715DC">
      <w:r>
        <w:rPr>
          <w:rFonts w:hint="eastAsia"/>
        </w:rPr>
        <w:t>1.2.1 全罐红外温度控制系统，两个在消解罐底部安装的传感器可透过TFM材料实现对样品消解溶液的非接触直接测量，同时监控所有样品罐的反应温度，</w:t>
      </w:r>
      <w:r>
        <w:rPr>
          <w:rFonts w:hint="eastAsia"/>
          <w:color w:val="0000FF"/>
        </w:rPr>
        <w:t>样品控温精度：</w:t>
      </w:r>
      <w:r>
        <w:rPr>
          <w:rFonts w:hint="eastAsia"/>
          <w:color w:val="0000FF"/>
          <w:lang w:val="en-US" w:eastAsia="zh-CN"/>
        </w:rPr>
        <w:t xml:space="preserve"> ≤ ±1℃</w:t>
      </w:r>
    </w:p>
    <w:p w14:paraId="6C69BD97">
      <w:r>
        <w:rPr>
          <w:rFonts w:hint="eastAsia"/>
        </w:rPr>
        <w:t>1.2.2 全自动过温保护，当消解罐内温度高于设定温度时，全自动识别并自动切断微波输出，当消解温度回归正常时，自动识别并启动。</w:t>
      </w:r>
    </w:p>
    <w:p w14:paraId="7BCC7024">
      <w:r>
        <w:rPr>
          <w:rFonts w:hint="eastAsia"/>
        </w:rPr>
        <w:t>1.2.3 非接触式全罐压力控制系统，当消解罐内压力发生意外时，能自动切断微波功率输出，停止加热反应。当压力回到正常时，能自动启动微波输出功率，确保消解实验继续正常运行。</w:t>
      </w:r>
    </w:p>
    <w:p w14:paraId="641F52A3">
      <w:r>
        <w:rPr>
          <w:rFonts w:hint="eastAsia"/>
        </w:rPr>
        <w:t>1.3 全塑材质高通量消解转子</w:t>
      </w:r>
    </w:p>
    <w:p w14:paraId="7D6ABA34">
      <w:r>
        <w:rPr>
          <w:rFonts w:hint="eastAsia"/>
        </w:rPr>
        <w:t>1.3.1 全塑不含金属材质消解转子，保证转子在微波工作腔内的工作安全，避免酸气腐蚀。每个消解罐均具有弹性泄压主动保护技术，泄压后不影响样品继续消解，泄压过程无任何消耗件</w:t>
      </w:r>
    </w:p>
    <w:p w14:paraId="55110883">
      <w:r>
        <w:rPr>
          <w:rFonts w:hint="eastAsia"/>
          <w:color w:val="C00000"/>
        </w:rPr>
        <w:t xml:space="preserve">1.3.2 </w:t>
      </w:r>
      <w:r>
        <w:rPr>
          <w:rFonts w:hint="eastAsia"/>
        </w:rPr>
        <w:t xml:space="preserve">可同时处理的反应罐数：至少40，样品消解罐体积： 至少62ml，消解罐高度≤155mm（提供第三方检测机构检测报告和实物测量图片）。 </w:t>
      </w:r>
    </w:p>
    <w:p w14:paraId="202A2794">
      <w:r>
        <w:rPr>
          <w:rFonts w:hint="eastAsia"/>
          <w:color w:val="C00000"/>
        </w:rPr>
        <w:t>1.3.3</w:t>
      </w:r>
      <w:r>
        <w:rPr>
          <w:rFonts w:hint="eastAsia"/>
        </w:rPr>
        <w:t xml:space="preserve"> 大微波谐振腔和优化消解罐设计，消解完成后可将消解内罐直接取出，无需搬动转子和外罐（提供实物图片） 。</w:t>
      </w:r>
    </w:p>
    <w:p w14:paraId="73E7B239">
      <w:r>
        <w:rPr>
          <w:rFonts w:hint="eastAsia"/>
          <w:color w:val="C00000"/>
        </w:rPr>
        <w:t xml:space="preserve">1.3.4 </w:t>
      </w:r>
      <w:r>
        <w:rPr>
          <w:rFonts w:hint="eastAsia"/>
        </w:rPr>
        <w:t>样品消解罐和盖子的材料：</w:t>
      </w:r>
      <w:r>
        <w:rPr>
          <w:rFonts w:hint="eastAsia"/>
          <w:color w:val="0000FF"/>
        </w:rPr>
        <w:t>聚四氟乙烯</w:t>
      </w:r>
      <w:r>
        <w:rPr>
          <w:rFonts w:hint="eastAsia"/>
        </w:rPr>
        <w:t xml:space="preserve"> ，消解罐内塞和盖子均不含任何金属部件，均可泡酸清洗，完全避免打火风险；消解罐外壁必须光滑，确保内外罐紧密贴合（提供实物图片）。</w:t>
      </w:r>
    </w:p>
    <w:p w14:paraId="4E0212CA">
      <w:r>
        <w:rPr>
          <w:rFonts w:hint="eastAsia"/>
        </w:rPr>
        <w:t>1.3.5 保护外罐材质：复合石英纤维PEEKK材料（不含金属部件），不吸收任何溶剂和气体，永远不会发生形变。</w:t>
      </w:r>
    </w:p>
    <w:p w14:paraId="0D968D09">
      <w:r>
        <w:rPr>
          <w:rFonts w:hint="eastAsia"/>
        </w:rPr>
        <w:t>1.3.6 样品消解罐最高耐压： ≥100bar；样品消解罐最高耐温： ≥300℃。</w:t>
      </w:r>
    </w:p>
    <w:p w14:paraId="25B30A05">
      <w:r>
        <w:rPr>
          <w:rFonts w:hint="eastAsia"/>
        </w:rPr>
        <w:t>1.3.7 转子所有部件不吸收水分，消解后转子支持原位普通风冷，强制风冷或水冷三种冷却方式。</w:t>
      </w:r>
    </w:p>
    <w:p w14:paraId="43E9DADB">
      <w:r>
        <w:rPr>
          <w:rFonts w:hint="eastAsia"/>
        </w:rPr>
        <w:t>2. 配置清单</w:t>
      </w:r>
    </w:p>
    <w:p w14:paraId="5EA2348E">
      <w:r>
        <w:rPr>
          <w:rFonts w:hint="eastAsia"/>
        </w:rPr>
        <w:t>2.1 微波消解萃取/萃取仪主机，含全不锈钢安全防爆门体     1套</w:t>
      </w:r>
    </w:p>
    <w:p w14:paraId="731458BD">
      <w:r>
        <w:rPr>
          <w:rFonts w:hint="eastAsia"/>
        </w:rPr>
        <w:t>2.2 全罐温度控制系统，含2个底部安装的红外传感器         1套</w:t>
      </w:r>
    </w:p>
    <w:p w14:paraId="65F96669">
      <w:r>
        <w:rPr>
          <w:rFonts w:hint="eastAsia"/>
        </w:rPr>
        <w:t xml:space="preserve">2.3 全罐压力控制系统    </w:t>
      </w:r>
      <w:r>
        <w:rPr>
          <w:rFonts w:hint="eastAsia"/>
        </w:rPr>
        <w:tab/>
      </w:r>
      <w:r>
        <w:rPr>
          <w:rFonts w:hint="eastAsia"/>
        </w:rPr>
        <w:tab/>
      </w:r>
      <w:r>
        <w:rPr>
          <w:rFonts w:hint="eastAsia"/>
        </w:rPr>
        <w:t xml:space="preserve">     </w:t>
      </w:r>
      <w:r>
        <w:rPr>
          <w:rFonts w:hint="eastAsia"/>
        </w:rPr>
        <w:tab/>
      </w:r>
      <w:r>
        <w:rPr>
          <w:rFonts w:hint="eastAsia"/>
        </w:rPr>
        <w:t xml:space="preserve">  1套</w:t>
      </w:r>
    </w:p>
    <w:p w14:paraId="5BDDFE9C">
      <w:r>
        <w:rPr>
          <w:rFonts w:hint="eastAsia"/>
        </w:rPr>
        <w:t>2.4 全塑不含金属材质整套高压消解转子    1套(含全塑转子支架,80个内罐,80个外罐,40个内塞，80个盖子等)</w:t>
      </w:r>
    </w:p>
    <w:p w14:paraId="7F4202BC">
      <w:r>
        <w:rPr>
          <w:rFonts w:hint="eastAsia"/>
        </w:rPr>
        <w:t>2.5 赶酸器   1套</w:t>
      </w:r>
    </w:p>
    <w:p w14:paraId="3FDA48BB">
      <w:pPr>
        <w:spacing w:line="360" w:lineRule="auto"/>
      </w:pPr>
      <w:r>
        <w:rPr>
          <w:rFonts w:hint="eastAsia"/>
        </w:rPr>
        <w:t>2.6 自动拧盖   1 套</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modern"/>
    <w:pitch w:val="default"/>
    <w:sig w:usb0="E0002EFF" w:usb1="C000785B" w:usb2="00000009" w:usb3="00000000" w:csb0="400001FF" w:csb1="FFFF0000"/>
  </w:font>
  <w:font w:name="宋体">
    <w:panose1 w:val="02010600030101010101"/>
    <w:charset w:val="80"/>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8588E7"/>
    <w:multiLevelType w:val="singleLevel"/>
    <w:tmpl w:val="838588E7"/>
    <w:lvl w:ilvl="0" w:tentative="0">
      <w:start w:val="3"/>
      <w:numFmt w:val="decimal"/>
      <w:suff w:val="space"/>
      <w:lvlText w:val="%1．"/>
      <w:lvlJc w:val="left"/>
    </w:lvl>
  </w:abstractNum>
  <w:abstractNum w:abstractNumId="1">
    <w:nsid w:val="26611ACC"/>
    <w:multiLevelType w:val="multilevel"/>
    <w:tmpl w:val="26611ACC"/>
    <w:lvl w:ilvl="0" w:tentative="0">
      <w:start w:val="1"/>
      <w:numFmt w:val="decimal"/>
      <w:lvlText w:val="%1"/>
      <w:lvlJc w:val="left"/>
      <w:pPr>
        <w:ind w:left="360" w:hanging="360"/>
      </w:pPr>
      <w:rPr>
        <w:rFonts w:hint="default"/>
      </w:rPr>
    </w:lvl>
    <w:lvl w:ilvl="1" w:tentative="0">
      <w:start w:val="1"/>
      <w:numFmt w:val="decimal"/>
      <w:lvlText w:val="%1.%2"/>
      <w:lvlJc w:val="left"/>
      <w:pPr>
        <w:ind w:left="810" w:hanging="360"/>
      </w:pPr>
      <w:rPr>
        <w:rFonts w:hint="default"/>
      </w:rPr>
    </w:lvl>
    <w:lvl w:ilvl="2" w:tentative="0">
      <w:start w:val="1"/>
      <w:numFmt w:val="decimal"/>
      <w:lvlText w:val="%1.%2.%3"/>
      <w:lvlJc w:val="left"/>
      <w:pPr>
        <w:ind w:left="1620" w:hanging="720"/>
      </w:pPr>
      <w:rPr>
        <w:rFonts w:hint="default"/>
      </w:rPr>
    </w:lvl>
    <w:lvl w:ilvl="3" w:tentative="0">
      <w:start w:val="1"/>
      <w:numFmt w:val="decimal"/>
      <w:lvlText w:val="%1.%2.%3.%4"/>
      <w:lvlJc w:val="left"/>
      <w:pPr>
        <w:ind w:left="2070" w:hanging="720"/>
      </w:pPr>
      <w:rPr>
        <w:rFonts w:hint="default"/>
      </w:rPr>
    </w:lvl>
    <w:lvl w:ilvl="4" w:tentative="0">
      <w:start w:val="1"/>
      <w:numFmt w:val="decimal"/>
      <w:lvlText w:val="%1.%2.%3.%4.%5"/>
      <w:lvlJc w:val="left"/>
      <w:pPr>
        <w:ind w:left="2880" w:hanging="1080"/>
      </w:pPr>
      <w:rPr>
        <w:rFonts w:hint="default"/>
      </w:rPr>
    </w:lvl>
    <w:lvl w:ilvl="5" w:tentative="0">
      <w:start w:val="1"/>
      <w:numFmt w:val="decimal"/>
      <w:lvlText w:val="%1.%2.%3.%4.%5.%6"/>
      <w:lvlJc w:val="left"/>
      <w:pPr>
        <w:ind w:left="3330" w:hanging="1080"/>
      </w:pPr>
      <w:rPr>
        <w:rFonts w:hint="default"/>
      </w:rPr>
    </w:lvl>
    <w:lvl w:ilvl="6" w:tentative="0">
      <w:start w:val="1"/>
      <w:numFmt w:val="decimal"/>
      <w:lvlText w:val="%1.%2.%3.%4.%5.%6.%7"/>
      <w:lvlJc w:val="left"/>
      <w:pPr>
        <w:ind w:left="3780" w:hanging="1080"/>
      </w:pPr>
      <w:rPr>
        <w:rFonts w:hint="default"/>
      </w:rPr>
    </w:lvl>
    <w:lvl w:ilvl="7" w:tentative="0">
      <w:start w:val="1"/>
      <w:numFmt w:val="decimal"/>
      <w:lvlText w:val="%1.%2.%3.%4.%5.%6.%7.%8"/>
      <w:lvlJc w:val="left"/>
      <w:pPr>
        <w:ind w:left="4590" w:hanging="1440"/>
      </w:pPr>
      <w:rPr>
        <w:rFonts w:hint="default"/>
      </w:rPr>
    </w:lvl>
    <w:lvl w:ilvl="8" w:tentative="0">
      <w:start w:val="1"/>
      <w:numFmt w:val="decimal"/>
      <w:lvlText w:val="%1.%2.%3.%4.%5.%6.%7.%8.%9"/>
      <w:lvlJc w:val="left"/>
      <w:pPr>
        <w:ind w:left="5040" w:hanging="1440"/>
      </w:pPr>
      <w:rPr>
        <w:rFonts w:hint="default"/>
      </w:rPr>
    </w:lvl>
  </w:abstractNum>
  <w:abstractNum w:abstractNumId="2">
    <w:nsid w:val="42B4364B"/>
    <w:multiLevelType w:val="multilevel"/>
    <w:tmpl w:val="42B4364B"/>
    <w:lvl w:ilvl="0" w:tentative="0">
      <w:start w:val="1"/>
      <w:numFmt w:val="decimal"/>
      <w:lvlText w:val="%1．"/>
      <w:lvlJc w:val="left"/>
      <w:pPr>
        <w:ind w:left="780" w:hanging="360"/>
      </w:pPr>
      <w:rPr>
        <w:rFonts w:hint="default"/>
      </w:r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59CE"/>
    <w:rsid w:val="00051640"/>
    <w:rsid w:val="000A2729"/>
    <w:rsid w:val="00111281"/>
    <w:rsid w:val="00187E96"/>
    <w:rsid w:val="001E5F8E"/>
    <w:rsid w:val="00240838"/>
    <w:rsid w:val="002A06AE"/>
    <w:rsid w:val="002A59CE"/>
    <w:rsid w:val="002B1E23"/>
    <w:rsid w:val="0032299B"/>
    <w:rsid w:val="003D2C37"/>
    <w:rsid w:val="0042684D"/>
    <w:rsid w:val="005474E3"/>
    <w:rsid w:val="00691EDD"/>
    <w:rsid w:val="00845502"/>
    <w:rsid w:val="00885690"/>
    <w:rsid w:val="008A14C8"/>
    <w:rsid w:val="008D72B5"/>
    <w:rsid w:val="00902C2A"/>
    <w:rsid w:val="009120DF"/>
    <w:rsid w:val="00A45E44"/>
    <w:rsid w:val="00C41578"/>
    <w:rsid w:val="00C61758"/>
    <w:rsid w:val="00C64AFD"/>
    <w:rsid w:val="00CA7AF7"/>
    <w:rsid w:val="00DF7B41"/>
    <w:rsid w:val="00EF4DC6"/>
    <w:rsid w:val="074A741F"/>
    <w:rsid w:val="0B350DD0"/>
    <w:rsid w:val="16DF591A"/>
    <w:rsid w:val="18414ADE"/>
    <w:rsid w:val="197F5A9B"/>
    <w:rsid w:val="30103067"/>
    <w:rsid w:val="323112C7"/>
    <w:rsid w:val="39AD0063"/>
    <w:rsid w:val="3AC84793"/>
    <w:rsid w:val="43BB6C43"/>
    <w:rsid w:val="4A6E17F6"/>
    <w:rsid w:val="4B900EB9"/>
    <w:rsid w:val="50140F58"/>
    <w:rsid w:val="55CB6A7B"/>
    <w:rsid w:val="58804092"/>
    <w:rsid w:val="5B04316E"/>
    <w:rsid w:val="5F57386C"/>
    <w:rsid w:val="66293A88"/>
    <w:rsid w:val="711F4406"/>
    <w:rsid w:val="7DB303AF"/>
    <w:rsid w:val="7ECA07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3"/>
    <w:unhideWhenUsed/>
    <w:qFormat/>
    <w:uiPriority w:val="99"/>
    <w:pPr>
      <w:tabs>
        <w:tab w:val="center" w:pos="4320"/>
        <w:tab w:val="right" w:pos="8640"/>
      </w:tabs>
    </w:pPr>
  </w:style>
  <w:style w:type="paragraph" w:styleId="5">
    <w:name w:val="header"/>
    <w:basedOn w:val="1"/>
    <w:link w:val="12"/>
    <w:unhideWhenUsed/>
    <w:uiPriority w:val="99"/>
    <w:pPr>
      <w:tabs>
        <w:tab w:val="center" w:pos="4320"/>
        <w:tab w:val="right" w:pos="8640"/>
      </w:tabs>
    </w:pPr>
  </w:style>
  <w:style w:type="paragraph" w:styleId="6">
    <w:name w:val="annotation subject"/>
    <w:basedOn w:val="2"/>
    <w:next w:val="2"/>
    <w:link w:val="15"/>
    <w:semiHidden/>
    <w:unhideWhenUsed/>
    <w:uiPriority w:val="99"/>
    <w:rPr>
      <w:b/>
      <w:bCs/>
    </w:rPr>
  </w:style>
  <w:style w:type="table" w:styleId="8">
    <w:name w:val="Table Grid"/>
    <w:basedOn w:val="7"/>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qFormat/>
    <w:uiPriority w:val="99"/>
    <w:rPr>
      <w:sz w:val="21"/>
      <w:szCs w:val="21"/>
    </w:rPr>
  </w:style>
  <w:style w:type="paragraph" w:styleId="11">
    <w:name w:val="List Paragraph"/>
    <w:basedOn w:val="1"/>
    <w:qFormat/>
    <w:uiPriority w:val="34"/>
    <w:pPr>
      <w:ind w:firstLine="420" w:firstLineChars="200"/>
    </w:pPr>
  </w:style>
  <w:style w:type="character" w:customStyle="1" w:styleId="12">
    <w:name w:val="页眉 字符"/>
    <w:basedOn w:val="9"/>
    <w:link w:val="5"/>
    <w:qFormat/>
    <w:uiPriority w:val="99"/>
  </w:style>
  <w:style w:type="character" w:customStyle="1" w:styleId="13">
    <w:name w:val="页脚 字符"/>
    <w:basedOn w:val="9"/>
    <w:link w:val="4"/>
    <w:qFormat/>
    <w:uiPriority w:val="99"/>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3021</Words>
  <Characters>3768</Characters>
  <Lines>246</Lines>
  <Paragraphs>220</Paragraphs>
  <TotalTime>184</TotalTime>
  <ScaleCrop>false</ScaleCrop>
  <LinksUpToDate>false</LinksUpToDate>
  <CharactersWithSpaces>3988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2020-03-11T01:38:00Z</dcterms:created>
  <dc:creator>Administrator</dc:creator>
  <cp:lastModifiedBy>段池</cp:lastModifiedBy>
  <dcterms:modified xsi:type="dcterms:W3CDTF">2026-04-02T06:58:19Z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eyJoZGlkIjoiMmVkMDYxNzg5YmJlZTUyODViYzkzNjVhMDVhMDUzYTYiLCJ1c2VySWQiOiIxNjg1MTkxNzc3In0=</vt:lpwstr>
  </property>
  <property fmtid="{D5CDD505-2E9C-101B-9397-08002B2CF9AE}" pid="3" name="KSOProductBuildVer">
    <vt:lpwstr>2052-12.1.0.22529</vt:lpwstr>
  </property>
  <property fmtid="{D5CDD505-2E9C-101B-9397-08002B2CF9AE}" pid="4" name="ICV">
    <vt:lpwstr>42858439F43B4F389400FA6112B4F12A_13</vt:lpwstr>
  </property>
</Properties>
</file>