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B185D0">
      <w:pPr>
        <w:tabs>
          <w:tab w:val="left" w:pos="0"/>
        </w:tabs>
        <w:adjustRightInd w:val="0"/>
        <w:snapToGrid w:val="0"/>
        <w:spacing w:before="156" w:beforeLines="50" w:after="156" w:afterLines="50" w:line="560" w:lineRule="exact"/>
        <w:rPr>
          <w:rFonts w:ascii="宋体" w:hAnsi="宋体" w:cs="宋体"/>
          <w:bCs/>
          <w:sz w:val="30"/>
          <w:szCs w:val="30"/>
        </w:rPr>
      </w:pPr>
      <w:r>
        <w:rPr>
          <w:rFonts w:hint="eastAsia" w:ascii="宋体" w:hAnsi="宋体" w:cs="宋体"/>
          <w:bCs/>
          <w:sz w:val="30"/>
          <w:szCs w:val="30"/>
        </w:rPr>
        <w:t>附件4：</w:t>
      </w:r>
    </w:p>
    <w:p w14:paraId="5AD130AE">
      <w:pPr>
        <w:adjustRightInd w:val="0"/>
        <w:snapToGrid w:val="0"/>
        <w:spacing w:before="156" w:beforeLines="50" w:after="156" w:afterLines="50" w:line="560" w:lineRule="exact"/>
        <w:jc w:val="center"/>
        <w:rPr>
          <w:rFonts w:hint="eastAsia"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拟购激光共聚焦显微镜基本情况</w:t>
      </w:r>
    </w:p>
    <w:p w14:paraId="69CC9E0C">
      <w:pPr>
        <w:adjustRightInd w:val="0"/>
        <w:snapToGrid w:val="0"/>
        <w:spacing w:before="156" w:beforeLines="50" w:after="156" w:afterLines="50" w:line="560" w:lineRule="exact"/>
        <w:ind w:firstLine="602" w:firstLineChars="200"/>
        <w:rPr>
          <w:rFonts w:ascii="宋体" w:hAnsi="宋体" w:cs="宋体"/>
          <w:b/>
          <w:bCs/>
          <w:sz w:val="30"/>
          <w:szCs w:val="30"/>
        </w:rPr>
      </w:pPr>
      <w:r>
        <w:rPr>
          <w:rFonts w:hint="eastAsia" w:ascii="宋体" w:hAnsi="宋体" w:cs="宋体"/>
          <w:b/>
          <w:bCs/>
          <w:sz w:val="30"/>
          <w:szCs w:val="30"/>
        </w:rPr>
        <w:t>（一）拟购设备用途、功能</w:t>
      </w:r>
    </w:p>
    <w:p w14:paraId="150B6AC6">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1.用途要求</w:t>
      </w:r>
    </w:p>
    <w:p w14:paraId="1CC6236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本设备购置主要用来培养生物科学拔尖基地人才，在开设的《细胞生物学实验》等开放设计实验中，或者大学生创新创业课题中，开展设计并观察细胞染色后的各种细胞的分子，亚细胞结构等，在本科阶段学习分子及细胞的亚细胞定位研究方法；在拔尖人才的硕博连读培养阶段，培养学生独立操作使用激光共聚焦，在科研课题的牵引下，进行课题中分子染色，组织细胞共定位，观察研究组织切片，细胞活体的生长发育特征，研究测定细胞内物质运输和能量转换，能够进行活体细胞中离子和PH值变化研究，神经递质研究，微分干涉及荧光的断层扫描，多重荧光的断层扫描及重叠，荧光光谱分析荧光各项指标定量分析荧光样品的时间延迟扫描及动态构件组织与细胞的三维动态结构构件，荧光共振能量的转移的分析，荧光原位杂交研究（FISH），细胞骨架研究，基因定位研究，原位实时PCR产物分析，荧光漂白恢复研究（FRAP），胞间通讯研究，蛋白质间研究，膜电位与膜流动性等研究，完成图像分析和三维重建等分析。</w:t>
      </w:r>
    </w:p>
    <w:p w14:paraId="06BB3EA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2.功能要求：用于组织切片，细胞的荧光标记，三维图像重建分析研究；细胞生物物质，离子的定性，定量，定时和定位的分布检测等，可观察厚标本，观察活细胞，进行三维图像扫描成像等。</w:t>
      </w:r>
    </w:p>
    <w:p w14:paraId="3DC4EFF5">
      <w:pPr>
        <w:tabs>
          <w:tab w:val="left" w:pos="0"/>
        </w:tabs>
        <w:adjustRightInd w:val="0"/>
        <w:snapToGrid w:val="0"/>
        <w:spacing w:before="156" w:beforeLines="50" w:after="156" w:afterLines="50" w:line="560" w:lineRule="exact"/>
        <w:ind w:firstLine="602" w:firstLineChars="200"/>
        <w:rPr>
          <w:rFonts w:hint="eastAsia" w:ascii="宋体" w:hAnsi="宋体" w:cs="宋体"/>
          <w:b/>
          <w:sz w:val="30"/>
          <w:szCs w:val="30"/>
        </w:rPr>
      </w:pPr>
      <w:r>
        <w:rPr>
          <w:rFonts w:hint="eastAsia" w:ascii="宋体" w:hAnsi="宋体" w:cs="宋体"/>
          <w:b/>
          <w:sz w:val="30"/>
          <w:szCs w:val="30"/>
        </w:rPr>
        <w:t>（二）拟设技术参数</w:t>
      </w:r>
    </w:p>
    <w:p w14:paraId="57229A30">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1．激光器系统</w:t>
      </w:r>
    </w:p>
    <w:p w14:paraId="0BF9D983">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1.1激光器：固体激光器数量≥4根，激光器谱线波长可在指定波长±范围：405±10nm，488±10nm, 561±10nm，638±10nm。</w:t>
      </w:r>
    </w:p>
    <w:p w14:paraId="05BEE24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1.2 激光器开闭和电压调节由计算机的激光共聚焦扫描软件系统控制，激光器能量调节精度≤0.01%，调节范围：0.01%-100%。</w:t>
      </w:r>
    </w:p>
    <w:p w14:paraId="34C03AD2">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2．扫描检测系统</w:t>
      </w:r>
    </w:p>
    <w:p w14:paraId="18DC4EB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2.1 光栅分光或棱镜分光。</w:t>
      </w:r>
    </w:p>
    <w:p w14:paraId="67C5765A">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2.2 检测器数量：总数≥5个，其中荧光检测器≥4个，透射光≥1个。</w:t>
      </w:r>
    </w:p>
    <w:p w14:paraId="407298E6">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2.3光谱型荧光检测器≥4个，在500nm处量子探测效率≥58%。</w:t>
      </w:r>
    </w:p>
    <w:p w14:paraId="35204A73">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2.4 可见光专用光学扫描部件，波长校正范围410～850n。；</w:t>
      </w:r>
    </w:p>
    <w:p w14:paraId="20C8EE8E">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2.5 最大扫描视场对角线≥22mm。</w:t>
      </w:r>
    </w:p>
    <w:p w14:paraId="57F0F3DE">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2.6扫描振镜：扫描速度≥28帧/秒（512 x 512分辨率）。</w:t>
      </w:r>
    </w:p>
    <w:p w14:paraId="3A4D1927">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 xml:space="preserve">2.7最大扫描分辨率≥8192 x 8192；扫描速度调节步进1Hz，不少于100档扫描速度调节；光学扫描放大倍数0.75X～48X连续可调。 </w:t>
      </w:r>
    </w:p>
    <w:p w14:paraId="2D236732">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2.8带可编程控制面板，可方便快捷控制共聚焦各种参数。</w:t>
      </w:r>
    </w:p>
    <w:p w14:paraId="5E20BBA6">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2.9 光谱检测通道：≥4个通道可做光谱扫描和成。；</w:t>
      </w:r>
    </w:p>
    <w:p w14:paraId="788D190F">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3．激光共聚焦超高分辨系统</w:t>
      </w:r>
    </w:p>
    <w:p w14:paraId="0111E45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3.1成像分辨率：XY方向≤120nm，Z方向≤200nm。</w:t>
      </w:r>
    </w:p>
    <w:p w14:paraId="37348462">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3.2检测器为光谱型荧光检测器，可进行光谱式成像，光谱检测范围410-850nm。</w:t>
      </w:r>
    </w:p>
    <w:p w14:paraId="2D092D46">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3.3可在实验中实现超高分辨率四色同时成像。</w:t>
      </w:r>
    </w:p>
    <w:p w14:paraId="69F96E78">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4．光学系统</w:t>
      </w:r>
    </w:p>
    <w:p w14:paraId="097CC72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4.1研究级全自动倒置显微镜：具备明场、荧光，微分干涉DIC观察功能。</w:t>
      </w:r>
    </w:p>
    <w:p w14:paraId="1CF67DE4">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4.2全自动DIC调节，当改变物镜倍数时，该倍数DIC所需要的起偏器，检偏器，物镜棱镜，聚光镜自动转移到光路中，当切换到荧光观察时，所有DIC光学部件全部自动退出光路。</w:t>
      </w:r>
    </w:p>
    <w:p w14:paraId="020ECD11">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4.3透射光源：LED光源。</w:t>
      </w:r>
    </w:p>
    <w:p w14:paraId="25AE1BC1">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4.4电动Z轴调焦。</w:t>
      </w:r>
    </w:p>
    <w:p w14:paraId="2D4CAF2F">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4.5电动聚光镜，电动照明光轴，电动调节透射光和荧光的孔径光阑和视场光阑。</w:t>
      </w:r>
    </w:p>
    <w:p w14:paraId="482F282A">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4.6长寿命LED荧光光源，光纤导光。</w:t>
      </w:r>
    </w:p>
    <w:p w14:paraId="0AE58B7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4.7电动荧光滤色块转盘≥6孔，自动荧光强度管理系统，荧光光强调节≥5档，可调视场光阑≥12个。</w:t>
      </w:r>
    </w:p>
    <w:p w14:paraId="461542B5">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4.8荧光激发块：蓝色，绿色，红色荧光滤块。</w:t>
      </w:r>
    </w:p>
    <w:p w14:paraId="74BEAE6F">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4.9宽视野观察筒，倾角≥45º，瞳距调节55-75mm，视场数≥20mm。</w:t>
      </w:r>
    </w:p>
    <w:p w14:paraId="211B5B64">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4.10宽视野平场目镜10倍，视场数≥20mm，屈光度可补偿调节。</w:t>
      </w:r>
    </w:p>
    <w:p w14:paraId="57C9AE4B">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4.11物镜：共聚焦专用平场全复消色差物镜</w:t>
      </w:r>
    </w:p>
    <w:p w14:paraId="1A76BEE0">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4.11.1  10倍平场全复消色差荧光物镜，数值孔径N.A.≥0.4。</w:t>
      </w:r>
    </w:p>
    <w:p w14:paraId="41A2C3B5">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4.11.2  20倍平场全复消色差荧光物镜，数值孔径N.A.≥0.75。</w:t>
      </w:r>
    </w:p>
    <w:p w14:paraId="1F3B6576">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4.11.3  40倍平场全复消色差荧光物镜，数值孔径N.A.≥0.95。</w:t>
      </w:r>
    </w:p>
    <w:p w14:paraId="27492223">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4.11.4  63倍平场全复消色差荧光油镜，数值孔径N.A.≥1.40，工作距离≥0.14mm。</w:t>
      </w:r>
    </w:p>
    <w:p w14:paraId="4E11909F">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 xml:space="preserve">4.12高精度XY电动载物台，行程≥83mm x 127mm，配备通用样品夹，适合直径24-68毫米的培养皿，适合长度≤120毫米的玻片。 </w:t>
      </w:r>
    </w:p>
    <w:p w14:paraId="18EB11B1">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 xml:space="preserve">4.13自动焦面适应系统实现自动对焦，配备红外光源自动跟踪焦平面，实现完美对焦功能，能自动纠正因为环境变化、加样等引起焦面漂移而产生的成像面模糊。 </w:t>
      </w:r>
    </w:p>
    <w:p w14:paraId="0D03265F">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5．活细胞系统</w:t>
      </w:r>
    </w:p>
    <w:p w14:paraId="4D079124">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5.1匹配活细胞培养装置，精确控制培养温度、CO₂浓度。</w:t>
      </w:r>
    </w:p>
    <w:p w14:paraId="02735D3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5.2 CO₂浓度可调范围：5%-20%；控制方式：PID控制；空气流量控制：150-200ml/min；使用气体：100% CO₂浓度气体。</w:t>
      </w:r>
    </w:p>
    <w:p w14:paraId="4253B8F6">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5.3 样品设定可调温度：摄氏30-40度；可实时反馈样品温度；可通过软件将样品温度等输出到PC上；具有适合35mm培养皿的传感器盖；具有适合多孔板培养的传感器盖。</w:t>
      </w:r>
    </w:p>
    <w:p w14:paraId="7F917AE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6．工作站</w:t>
      </w:r>
    </w:p>
    <w:p w14:paraId="5A8235F1">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专业工作站：CPU≥3.6 GHz，内存≥64GB，高性能显卡，显存≥16GB，液晶真彩4K高清显示屏(1个)≥37英寸，显示屏分辨率≥3840 x 1600，硬盘≥6TB，DVD+/- RW刻录，Windows 11 Professional (64 位)操作系统。</w:t>
      </w:r>
    </w:p>
    <w:p w14:paraId="0B54E746">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7．软件系统</w:t>
      </w:r>
    </w:p>
    <w:p w14:paraId="13A244A9">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7.1软件建立在Windows系统上，使用先进程序语言，程序执行效率高、快、稳定。整个系统程序，包括控制、检测</w:t>
      </w:r>
      <w:bookmarkStart w:id="0" w:name="OLE_LINK2"/>
      <w:r>
        <w:rPr>
          <w:rFonts w:hint="eastAsia" w:ascii="宋体" w:hAnsi="宋体" w:cs="宋体"/>
          <w:sz w:val="30"/>
          <w:szCs w:val="30"/>
        </w:rPr>
        <w:t>、</w:t>
      </w:r>
      <w:bookmarkEnd w:id="0"/>
      <w:r>
        <w:rPr>
          <w:rFonts w:hint="eastAsia" w:ascii="宋体" w:hAnsi="宋体" w:cs="宋体"/>
          <w:sz w:val="30"/>
          <w:szCs w:val="30"/>
        </w:rPr>
        <w:t>分析功能设计合理，操作界面友好，操作简便。</w:t>
      </w:r>
    </w:p>
    <w:p w14:paraId="60B1CDF7">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7.2控制硬件的功能：选择激光波长、调节激光强度、拍摄2-5维图像、选择光谱拍摄范围、成像分辨率、实验条件实时记录、一键式恢复等。</w:t>
      </w:r>
    </w:p>
    <w:p w14:paraId="3A034935">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7.3可进行时间记录，可设置时间循环，具有自动聚焦功能，具有荧光亮度校正、补偿功能（在Z轴方向上补偿荧光亮度的变化）。</w:t>
      </w:r>
    </w:p>
    <w:p w14:paraId="1BC21324">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7.4光谱拆分软件：能对样品发射荧光进行光谱扫描，可实现在线光谱拆分和扫描后光谱拆分。</w:t>
      </w:r>
    </w:p>
    <w:p w14:paraId="1AD16F86">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7.5共定位分析软件：通过散点图法对双色荧光数据进行共定位分析，可分别对每个通道的背景及阈值进行调节，得出共定位百分比及皮尔森相关系数等统计数据，数据可导出至Excel表格。</w:t>
      </w:r>
    </w:p>
    <w:p w14:paraId="52F692DF">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7.6图像可调节亮度、对比度，单个通道分别调节或多个通道同时调节。</w:t>
      </w:r>
    </w:p>
    <w:p w14:paraId="5C8637BF">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7.7图像处理：具备旋转、裁剪、多种滤镜功能，具备添加标尺、箭头、文字等功能。</w:t>
      </w:r>
    </w:p>
    <w:p w14:paraId="4D3EE0A1">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7.8多功能全标本导航，全标本拼图。能进行自定义ROI形状的拼图，能拼接出长条形或圆形的大图。能指定不同ROI区域使用不同的物镜进行拼图。能一次性批量化扫描多个标本和多个ROI拼图。</w:t>
      </w:r>
    </w:p>
    <w:p w14:paraId="2EB5F7D4">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7.9能进行全玻片无缝拼图扫描，带聚焦地形图功能，能适应标本高低不同的焦面进行多焦点自动对焦及拼图。能自定义多个不同的焦点。能结合电动Z轴进行三维拼图，拼接结果能根据需求进行大图三维重建、大图三维叠加。</w:t>
      </w:r>
    </w:p>
    <w:p w14:paraId="1F1842BB">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7.10具备FRAP实验功能，可在FRAP过程中进行选择性漂白以及设置漂白模式。</w:t>
      </w:r>
    </w:p>
    <w:p w14:paraId="411A52AC">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8.配套设备</w:t>
      </w:r>
    </w:p>
    <w:p w14:paraId="4562046B">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8.1．不间断UPS电源一套，功率≥3KVA、续航时间≥30min。</w:t>
      </w:r>
    </w:p>
    <w:p w14:paraId="114C4562">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8.2．主动式防震台一套，尺寸≥800 x 1000 mm 。</w:t>
      </w:r>
    </w:p>
    <w:p w14:paraId="76EA9CAE">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8.3．品牌除湿机一台，除湿面积≥20㎡。</w:t>
      </w:r>
    </w:p>
    <w:p w14:paraId="3EDC5F7E">
      <w:pPr>
        <w:adjustRightInd w:val="0"/>
        <w:snapToGrid w:val="0"/>
        <w:spacing w:line="560" w:lineRule="exact"/>
        <w:ind w:firstLine="600" w:firstLineChars="200"/>
        <w:rPr>
          <w:rFonts w:hint="eastAsia" w:ascii="宋体" w:hAnsi="宋体" w:cs="宋体"/>
          <w:sz w:val="30"/>
          <w:szCs w:val="30"/>
        </w:rPr>
      </w:pPr>
      <w:r>
        <w:rPr>
          <w:rFonts w:hint="eastAsia" w:ascii="宋体" w:hAnsi="宋体" w:cs="宋体"/>
          <w:sz w:val="30"/>
          <w:szCs w:val="30"/>
        </w:rPr>
        <w:t>9.需提供制造商或者授权总代理针对本项目关于本产品的售后服务承诺函，要求整机质保≥60个月。</w:t>
      </w:r>
    </w:p>
    <w:p w14:paraId="0AA53F17">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0A3CF5"/>
    <w:rsid w:val="5A0A3C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2025-03-11T07:54:00Z</dcterms:created>
  <dc:creator>hubin</dc:creator>
  <cp:lastModifiedBy>hubin</cp:lastModifiedBy>
  <dcterms:modified xsi:type="dcterms:W3CDTF">2025-03-11T07:54:24Z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1CD8D33F194B40EF8D04E3D5BCA5FC1A_11</vt:lpwstr>
  </property>
  <property fmtid="{D5CDD505-2E9C-101B-9397-08002B2CF9AE}" pid="4" name="KSOTemplateDocerSaveRecord">
    <vt:lpwstr>eyJoZGlkIjoiMGRiNTVmMzcxMzdhMDg5OTU0YWQ2MDdhNzZjZmY1NDEifQ==</vt:lpwstr>
  </property>
</Properties>
</file>