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ABE4D">
      <w:pPr>
        <w:jc w:val="center"/>
        <w:rPr>
          <w:rFonts w:ascii="Times New Roman Regular" w:hAnsi="Times New Roman Regular" w:eastAsia="仿宋_GB2312" w:cs="Times New Roman Regular"/>
          <w:b/>
          <w:bCs/>
          <w:sz w:val="24"/>
          <w:szCs w:val="24"/>
        </w:rPr>
      </w:pPr>
      <w:r>
        <w:rPr>
          <w:rFonts w:hint="eastAsia" w:ascii="Times New Roman Regular" w:hAnsi="Times New Roman Regular" w:eastAsia="仿宋_GB2312" w:cs="Times New Roman Regular"/>
          <w:b/>
          <w:bCs/>
          <w:sz w:val="24"/>
          <w:szCs w:val="24"/>
        </w:rPr>
        <w:t>小动物饲养箱等设备技术要求</w:t>
      </w:r>
    </w:p>
    <w:p w14:paraId="46B18C1A">
      <w:pPr>
        <w:pStyle w:val="4"/>
        <w:rPr>
          <w:sz w:val="24"/>
          <w:szCs w:val="24"/>
        </w:rPr>
      </w:pPr>
    </w:p>
    <w:p w14:paraId="56BD2741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24"/>
          <w:szCs w:val="24"/>
        </w:rPr>
      </w:pPr>
      <w:r>
        <w:rPr>
          <w:rFonts w:hint="eastAsia" w:ascii="黑体" w:hAnsi="黑体" w:eastAsia="黑体" w:cs="黑体"/>
          <w:bCs/>
          <w:sz w:val="24"/>
          <w:szCs w:val="24"/>
        </w:rPr>
        <w:t>动物饲养箱</w:t>
      </w:r>
    </w:p>
    <w:p w14:paraId="5A94CA3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1.用途要求：专供小鼠、大鼠、豚鼠、裸鼠等实验动物日常喂养、繁殖、产仔、幼崽抚育，保证动物种群稳定繁育。方便给药、观察、取样、造模等动物实验操作。</w:t>
      </w:r>
    </w:p>
    <w:p w14:paraId="62B4181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2.功能要求： 温度可调可控，具备湿度调节能力，定时光照控制，强制通风换气，内置空气过滤组件，换气均匀无直吹风刺激动物。</w:t>
      </w:r>
    </w:p>
    <w:p w14:paraId="326CF7B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3.技术参数：</w:t>
      </w:r>
    </w:p>
    <w:p w14:paraId="4FD98373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摸显示屏，智能化控制系统，高性能运算处理器操作简单便捷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3E52EA3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标配PLC程序控制软件，终身免费的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控制版本升级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3F5AA2A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触摸屏控制器模块化设计，可快速拆卸，方便日后维护维修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551BB04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具备温度修正功能，杜绝多个温区运行所产生的温度线性误差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3894C5F5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安全数据储存系统，试验过程中数据可自动储存，可储存10年以上数据（非SD卡），储存数据通过U盘导出进行查看和备份，生成数据真实有效，且不能修改，满足现行FDA和CFDA、ICH的指导要求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F8A31B9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可通过曲线显示查看温度、光照记录情况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9571ABE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系统具有事件追踪记录管理功能，可记录（开机、关机、菜单参数设置、故障报警等），记录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的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数据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可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通过USB端口导出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EFC3DDB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采用两级递进式过滤结构，箱内空气循环净化，显著降低腔体异味、抑制有害微生物繁殖，稳定箱内饲养环境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B3E6E1B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标配标准化外接排风接口，可无缝对接实验室现有排风管道，实现饲养箱废气集中外排，满足实验室通风管控规范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4ECF52F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配备进口高精度温度传感器，独立控制，温度更稳定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0A2EA899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具有可编程的温度、光照、控制，可无限循环运行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95AE025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操作界面加密锁定功能，防止随意操作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8F59057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防噪音，防震动设计，减少设备运转对小动物的影响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A44F70C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容积：≥460升，外形尺寸（W*D*H）mm：≥910*990*1850，内腔尺寸（W*D*H）mm：≥750*520*1200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50F6B24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控温范围；无光照0~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0℃，有光照15-55℃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1E7C2A90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箱体具有远程监控功能，实时检测设备的运转情况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1AC8C08B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光源：白光、黄光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B5DD69F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光照强度：黄光≤3000k；白光≤6500k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0488AB0A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19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温度波动度:±0.1℃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E14CB20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温度均匀度(无光照15-45℃）: 0.5~0.8℃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075A78A2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湿度范围：20-95%RH；湿度精度：0.8-1.5%RH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34379D34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ascii="方正仿宋_GB2312" w:hAnsi="方正仿宋_GB2312" w:eastAsia="方正仿宋_GB2312" w:cs="方正仿宋_GB2312"/>
          <w:color w:val="FF0000"/>
          <w:sz w:val="24"/>
          <w:szCs w:val="24"/>
        </w:rPr>
        <w:t>22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箱体绝热保温材料：无弗聚氨酯整体一次性发泡技术，保温层厚度≥80mm，科学有效的提高箱体保温性和整体强度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；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采用环保无氟变频压缩机制冷技术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，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制冷量可智能调节，可实现长期无霜稳定运行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，能耗比同类产品节能40%以上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。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（需提供产品检测报告复印件并加盖投标人公章）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</w:t>
      </w:r>
    </w:p>
    <w:p w14:paraId="6C51CAA4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复门设计，内门≥6mm钢化玻璃，具备全景观察工作室内的培养情况，外门具备加热功能，保温效果更好，同时防止内门结露现象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0B205F3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内胆所有部件均采用优质SUS304不锈钢，四角圆弧设计，便于工作室消毒和清洁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371440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安全装置：自动启动、自动停止、来电恢复、定时运行、具有压缩机过压保护、超温报警、漏电保护、缺水报警、开门报警、传感器异常报警功能。</w:t>
      </w:r>
    </w:p>
    <w:p w14:paraId="0016BE79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24"/>
          <w:szCs w:val="24"/>
          <w:highlight w:val="red"/>
        </w:rPr>
      </w:pPr>
      <w:r>
        <w:rPr>
          <w:rFonts w:hint="eastAsia" w:ascii="黑体" w:hAnsi="黑体" w:eastAsia="黑体" w:cs="黑体"/>
          <w:bCs/>
          <w:sz w:val="24"/>
          <w:szCs w:val="24"/>
        </w:rPr>
        <w:t>二、振荡培养箱</w:t>
      </w:r>
    </w:p>
    <w:p w14:paraId="00790D14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</w:t>
      </w:r>
    </w:p>
    <w:p w14:paraId="578B8F3A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二氧化碳振荡培养箱作为生命科学、生物工程、医药研发等学科的基础科研设备，广泛用于蛋白的表达纯化、细胞增殖、分化及信号通路研究的体外培养；支撑基因克隆、蛋白表达等实验的微生物发酵；用于于小分子药物、抗体药物的初步筛选。</w:t>
      </w:r>
    </w:p>
    <w:p w14:paraId="47BDC235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2.功能要求：精准稳定的温度控制系统，具备混匀+增氧+低剪切力的振荡系统，精准的湿度控制系统，门和玻璃具有加热功能等。</w:t>
      </w:r>
    </w:p>
    <w:p w14:paraId="03A16930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17800412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立式箱体:以最小的占地面积提供最大的使用空间；</w:t>
      </w:r>
    </w:p>
    <w:p w14:paraId="2528E0FC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内衬工艺：采用抑菌不锈钢R角工艺，杂菌没有着力点不易滋生，方便彻底消毒；无缝焊接技术，防水及保证气密性，可全方位无死角冲洗消毒；不锈钢无螺丝固定，避免螺丝缝隙里滋生杂菌；（提供抑菌材料抑菌性能检测报告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C4BF119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门和玻璃具有加热功能；门和玻璃独立两电路加热，加热功率可调，能够有效避免冷凝水外滴造成污染，同时方便随时在不开门情况下观察箱体内部情况；</w:t>
      </w:r>
    </w:p>
    <w:p w14:paraId="786D25D8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控制面板: LCD触摸显示器，系统具有数据记录功能，每分钟记录一次数据，可记录90天的数据，并且可以生成温度、速度、CO2浓度实时监控曲线，方便数据分析，有USB接口，可将上述数据导出并保存；</w:t>
      </w:r>
    </w:p>
    <w:p w14:paraId="0E51C08A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配置二阶式增湿盘，箱体内自然增湿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5ABF7DB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制冷系统：进口压缩机、无氟环保制冷剂，低噪音、制冷灵敏，制冷量稳定;具有定时除霜功能，1~89分钟可自由设定，除霜间隔30~60分钟可调，能长时间在低温状态下运行不冰堵；配套制冷量可调技术，4℃可长期稳定运行（提供不少于48小时箱体内温控4℃时内置数据记录实物图片）；</w:t>
      </w:r>
    </w:p>
    <w:p w14:paraId="23A17430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振荡频率：10-300rpm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ab/>
      </w:r>
    </w:p>
    <w:p w14:paraId="03F309BE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振荡频率精度：±1rpm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ab/>
      </w:r>
    </w:p>
    <w:p w14:paraId="1DC96942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摇板振幅：Ф26mm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ab/>
      </w:r>
    </w:p>
    <w:p w14:paraId="52D7DB66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温控范围：4～60℃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ab/>
      </w:r>
    </w:p>
    <w:p w14:paraId="3E08AA67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温度调节精度：±0.1℃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D7DFCCB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12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温度均匀度：±0.3℃ （ at 37℃）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260B85E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最大容量：单层250ml×20或500ml×10或1000ml×8或2000ml×5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372C2771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夹具：配置可单手操作放取样品的一体成型全塑胶三角瓶夹具，保证装载玻璃三角瓶时，不因三角瓶破裂而被划伤；（提供塑胶夹具实物彩色图片及操作说明）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D098912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外型尺寸（长×宽×高）：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≥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600mm×766mm×998mm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1B511E83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进口红外线CO2传感器：高灵敏高精度高自动控制CO2浓度；</w:t>
      </w:r>
    </w:p>
    <w:p w14:paraId="120C4209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配置一套控制器、电磁阀、减压阀直接接CO2气源使用；</w:t>
      </w:r>
    </w:p>
    <w:p w14:paraId="7B4E20D1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耗气量：单层箱体一瓶CO2气体（20kg）正常开门情况下不少于35天，如果不开门不少于145天；</w:t>
      </w:r>
    </w:p>
    <w:p w14:paraId="7F4DF20D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CO2控制范围：0-20%；</w:t>
      </w:r>
    </w:p>
    <w:p w14:paraId="6C4BCDC9">
      <w:pPr>
        <w:adjustRightInd w:val="0"/>
        <w:snapToGrid w:val="0"/>
        <w:spacing w:line="560" w:lineRule="exact"/>
        <w:ind w:firstLine="720" w:firstLineChars="3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CO2分布均一性：0.1%；</w:t>
      </w:r>
    </w:p>
    <w:p w14:paraId="1847D435">
      <w:pPr>
        <w:adjustRightInd w:val="0"/>
        <w:snapToGrid w:val="0"/>
        <w:spacing w:line="560" w:lineRule="exact"/>
        <w:ind w:firstLine="720" w:firstLineChars="3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CO2控制精度：0.1%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。</w:t>
      </w:r>
    </w:p>
    <w:p w14:paraId="548473BD">
      <w:pPr>
        <w:rPr>
          <w:sz w:val="24"/>
          <w:szCs w:val="24"/>
        </w:rPr>
      </w:pPr>
    </w:p>
    <w:p w14:paraId="764FB831">
      <w:p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24"/>
          <w:szCs w:val="24"/>
        </w:rPr>
      </w:pPr>
      <w:r>
        <w:rPr>
          <w:rFonts w:hint="eastAsia" w:ascii="黑体" w:hAnsi="黑体" w:eastAsia="黑体" w:cs="黑体"/>
          <w:bCs/>
          <w:sz w:val="24"/>
          <w:szCs w:val="24"/>
        </w:rPr>
        <w:t>三、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斑马鱼成鱼观察仪</w:t>
      </w:r>
    </w:p>
    <w:p w14:paraId="39D28859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</w:t>
      </w:r>
    </w:p>
    <w:p w14:paraId="59C1EE93">
      <w:pPr>
        <w:adjustRightInd w:val="0"/>
        <w:snapToGrid w:val="0"/>
        <w:spacing w:line="560" w:lineRule="exact"/>
        <w:ind w:firstLine="420" w:firstLineChars="200"/>
        <w:rPr>
          <w:rFonts w:ascii="方正仿宋_GB2312" w:hAnsi="方正仿宋_GB2312" w:eastAsia="方正仿宋_GB2312" w:cs="方正仿宋_GB2312"/>
          <w:b w:val="0"/>
          <w:bCs w:val="0"/>
          <w:szCs w:val="24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Cs w:val="24"/>
        </w:rPr>
        <w:t>斑马鱼常规行为分析类似于啮齿类动物行为测试范式，用于考察斑马鱼学习记忆、社交行为以及焦虑抑郁等。斑马鱼常规行为分析通常包括圆形水缸、十字水池或一字水池，同时，底部配有肉眼不可见的均匀红外背光装置，能够让斑马鱼清晰可见。软件可以准确跟踪斑马鱼的轨迹路线，计算斑马鱼的活动路程，逗留时间以及每个研究区域内的访问次数、游泳速度等指标。</w:t>
      </w:r>
    </w:p>
    <w:p w14:paraId="718B4E2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2.功能要求：</w:t>
      </w:r>
      <w:r>
        <w:rPr>
          <w:rFonts w:ascii="方正仿宋_GB2312" w:hAnsi="方正仿宋_GB2312" w:eastAsia="方正仿宋_GB2312" w:cs="方正仿宋_GB2312"/>
          <w:sz w:val="24"/>
          <w:szCs w:val="24"/>
        </w:rPr>
        <w:t xml:space="preserve"> </w:t>
      </w:r>
    </w:p>
    <w:p w14:paraId="5CBE64D6">
      <w:pPr>
        <w:adjustRightInd w:val="0"/>
        <w:snapToGrid w:val="0"/>
        <w:spacing w:line="560" w:lineRule="exact"/>
        <w:ind w:firstLine="42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轨迹参数：运动轨迹图、总路程、平均速度、瞬时速度、角速度。</w:t>
      </w:r>
    </w:p>
    <w:p w14:paraId="3C000E80">
      <w:pPr>
        <w:adjustRightInd w:val="0"/>
        <w:snapToGrid w:val="0"/>
        <w:spacing w:line="560" w:lineRule="exact"/>
        <w:ind w:firstLine="42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活动状态：运动时间 / 静止时间、活跃度、高速 / 低速转换次数。</w:t>
      </w:r>
    </w:p>
    <w:p w14:paraId="285A4662">
      <w:pPr>
        <w:adjustRightInd w:val="0"/>
        <w:snapToGrid w:val="0"/>
        <w:spacing w:line="560" w:lineRule="exact"/>
        <w:ind w:firstLine="42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空间分布：在各区域停留时间、进入 / 离开次数、偏好指数（CPP）。</w:t>
      </w:r>
    </w:p>
    <w:p w14:paraId="44E3045B">
      <w:pPr>
        <w:adjustRightInd w:val="0"/>
        <w:snapToGrid w:val="0"/>
        <w:spacing w:line="560" w:lineRule="exact"/>
        <w:ind w:firstLine="42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4EA1114C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软件部分参数：</w:t>
      </w:r>
    </w:p>
    <w:p w14:paraId="7C94D4E9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系统提供≥7种观察对象识别的方法：智能识别法、灰度法、静态背景法、动态背景法、高斯背景法、色度法、深度学习模型法，可以应对几乎所有的困难的试验环境， 并支持斑马鱼行为数据量化展现：轨迹图、轨迹矢量图、热图(2D、3D)、活动量图(2D、3D) 等；</w:t>
      </w:r>
    </w:p>
    <w:p w14:paraId="59B58DD2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系统具备完善的外部输入输出控制，将行为与生物信号（脑电图、血压、神经元活动、超声波发声）和实验刺激（声音、光、电击）整合，可扩展斑马鱼的声光电的刺激实验； </w:t>
      </w:r>
    </w:p>
    <w:p w14:paraId="0CADCACA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系统可以将数值数据、事件数据以及动物的运动视频，整合到一个可视化界面，用户可以对数据进行验证和筛选；</w:t>
      </w:r>
    </w:p>
    <w:p w14:paraId="2CBFABBB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系统可以支持鱼类焦虑抑郁、学习认知等常规实验，同时可以支持多条鱼的社交实验、OKR实验、OMR实验等；</w:t>
      </w:r>
    </w:p>
    <w:p w14:paraId="37BEBA78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系统需支持云部署及本地部署两种部署方式，用户无需安装桌面端软件可直接登录 网址直接进行实验，支持用户使用PC、手机、平板等移动端随时随地登录网址进行视  频在线回放、数据在线查看、数据在线分析、数据在线下载等，并可通过微信小程序随时查看分析进程，并拥有在线提问功能；</w:t>
      </w:r>
    </w:p>
    <w:p w14:paraId="2A0022E7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支持热区图编辑功能，可自定义改变≥6种不同类型的色域编辑；</w:t>
      </w:r>
    </w:p>
    <w:p w14:paraId="0E5541FD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系统可提供复验功能，即对检测的事件可以通过点击来自动回/播放相应事件对应的视频，便于校验；</w:t>
      </w:r>
    </w:p>
    <w:p w14:paraId="520132B8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系统可新建多个实验平台，实验平台之间互不影响，采集分析可支持多视频窗口展示，支持窗口数量≥16个，每个窗口可独立开启测试；</w:t>
      </w:r>
    </w:p>
    <w:p w14:paraId="508F4749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系统支持斑马鱼的形态学测量，如身体长度、心包区面积等参数，可自定义测量范围； </w:t>
      </w:r>
    </w:p>
    <w:p w14:paraId="5161B856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系统检测的指标包括：游泳距离、区域进入次数、区域进入时间、行为持续时间、行为持续次数、交互次数、方向矢量值等；</w:t>
      </w:r>
    </w:p>
    <w:p w14:paraId="272B8C08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系统可以量化斑马鱼的行为状态：包括微小运动、正常运动、剧烈运动，同时可检测斑马鱼的冻结呆滞状态；</w:t>
      </w:r>
    </w:p>
    <w:p w14:paraId="1B7E9472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系统可以针对录像环境进行全部或者部分区域亮度和对比度的调节，并可进行滤波平滑调节，已达到最佳跟踪效果；</w:t>
      </w:r>
    </w:p>
    <w:p w14:paraId="6C8F37E7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系统可分析：眼动角度、实时眼速、慢相平均眼动速度、慢相平均眼动时间、眼动频率、测量时间内游动的速度、游动的总路程、跟随时间比值等指标；</w:t>
      </w:r>
    </w:p>
    <w:p w14:paraId="7D1C3CD7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系统自带录屏工具，可以挑选任意的时刻进行录屏输出；</w:t>
      </w:r>
    </w:p>
    <w:p w14:paraId="37F2F5AD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15）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硬件部分参数：</w:t>
      </w:r>
    </w:p>
    <w:p w14:paraId="1494406E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a）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系统具备高清相机、红外过滤器及红外照明系统，可以为鱼类的追踪提供良好的监控条件；</w:t>
      </w:r>
    </w:p>
    <w:p w14:paraId="26BBE47B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b）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摄像机采集速率：30-60帧/秒，分辨率：≥1080P； </w:t>
      </w:r>
    </w:p>
    <w:p w14:paraId="5266ADC8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C）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红外照明系统功率0-30W可调；</w:t>
      </w:r>
    </w:p>
    <w:p w14:paraId="7D5DFF81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d）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需配置T迷宫、十字交互迷宫、新物体识别箱、旷场实验箱、三箱交互箱。</w:t>
      </w:r>
      <w:r>
        <w:rPr>
          <w:rFonts w:hint="eastAsia" w:ascii="黑体" w:hAnsi="黑体" w:eastAsia="黑体" w:cs="黑体"/>
          <w:bCs/>
          <w:sz w:val="24"/>
          <w:szCs w:val="24"/>
        </w:rPr>
        <w:t>四、</w:t>
      </w:r>
      <w:bookmarkStart w:id="0" w:name="OLE_LINK1"/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LED荧光激发光源</w:t>
      </w:r>
      <w:bookmarkEnd w:id="0"/>
    </w:p>
    <w:p w14:paraId="4490D5A6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</w:t>
      </w:r>
    </w:p>
    <w:p w14:paraId="6CC878AA">
      <w:pPr>
        <w:pStyle w:val="2"/>
        <w:rPr>
          <w:rFonts w:ascii="方正仿宋_GB2312" w:hAnsi="方正仿宋_GB2312" w:eastAsia="方正仿宋_GB2312" w:cs="方正仿宋_GB2312"/>
          <w:b w:val="0"/>
          <w:bCs w:val="0"/>
          <w:szCs w:val="24"/>
        </w:rPr>
      </w:pPr>
      <w:r>
        <w:rPr>
          <w:rFonts w:hint="eastAsia"/>
          <w:szCs w:val="24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szCs w:val="24"/>
        </w:rPr>
        <w:t xml:space="preserve"> 荧光显微镜是生命科学教学与研究重要且常用的仪器设备，在电生理研究，</w:t>
      </w:r>
      <w:r>
        <w:rPr>
          <w:rFonts w:ascii="方正仿宋_GB2312" w:hAnsi="方正仿宋_GB2312" w:eastAsia="方正仿宋_GB2312" w:cs="方正仿宋_GB2312"/>
          <w:b w:val="0"/>
          <w:bCs w:val="0"/>
          <w:szCs w:val="24"/>
        </w:rPr>
        <w:t>特异性分子标记与动态追踪</w:t>
      </w:r>
      <w:r>
        <w:rPr>
          <w:rFonts w:hint="eastAsia" w:ascii="方正仿宋_GB2312" w:hAnsi="方正仿宋_GB2312" w:eastAsia="方正仿宋_GB2312" w:cs="方正仿宋_GB2312"/>
          <w:b w:val="0"/>
          <w:bCs w:val="0"/>
          <w:szCs w:val="24"/>
        </w:rPr>
        <w:t>，结合LED光源是目前的主流配置，冷光源即开即用特别适用于电生理研究中对光瞬时间开关的要求。</w:t>
      </w:r>
    </w:p>
    <w:p w14:paraId="59BD998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2.功能要求：</w:t>
      </w:r>
      <w:r>
        <w:rPr>
          <w:rFonts w:ascii="方正仿宋_GB2312" w:hAnsi="方正仿宋_GB2312" w:eastAsia="方正仿宋_GB2312" w:cs="方正仿宋_GB2312"/>
          <w:sz w:val="24"/>
          <w:szCs w:val="24"/>
        </w:rPr>
        <w:t xml:space="preserve"> </w:t>
      </w:r>
    </w:p>
    <w:p w14:paraId="7E9114C6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ascii="方正仿宋_GB2312" w:hAnsi="方正仿宋_GB2312" w:eastAsia="方正仿宋_GB2312" w:cs="方正仿宋_GB2312"/>
          <w:sz w:val="24"/>
          <w:szCs w:val="24"/>
        </w:rPr>
        <w:t>通过半导体芯片发光，采用特定波长芯片组合，可精准匹配常用荧光染料激发峰。</w:t>
      </w:r>
      <w:r>
        <w:rPr>
          <w:rFonts w:ascii="Cambria Math" w:hAnsi="Cambria Math" w:eastAsia="方正仿宋_GB2312" w:cs="Cambria Math"/>
          <w:sz w:val="24"/>
          <w:szCs w:val="24"/>
        </w:rPr>
        <w:t>​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功率 5-20W，使用寿命≥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25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000 小时，光强调节档位≥7 档，启动响应时间＜1ms。支持 4-6 个荧光通道灵活组合，适配多色荧光成像需求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，且可以通过在光源端增加滤光片来改变激发波长满足不同应用需求。</w:t>
      </w:r>
    </w:p>
    <w:p w14:paraId="722D401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4C7F2A8A">
      <w:pPr>
        <w:pStyle w:val="18"/>
        <w:spacing w:after="160" w:line="278" w:lineRule="auto"/>
        <w:ind w:firstLine="0" w:firstLineChars="0"/>
        <w:contextualSpacing/>
        <w:jc w:val="left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光谱范围：360-660nm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4FA757E">
      <w:pPr>
        <w:pStyle w:val="18"/>
        <w:spacing w:after="160" w:line="278" w:lineRule="auto"/>
        <w:ind w:firstLine="0" w:firstLineChars="0"/>
        <w:contextualSpacing/>
        <w:jc w:val="left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通道数：≥4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27705B3">
      <w:pPr>
        <w:pStyle w:val="18"/>
        <w:spacing w:after="160" w:line="278" w:lineRule="auto"/>
        <w:ind w:firstLine="0" w:firstLineChars="0"/>
        <w:contextualSpacing/>
        <w:jc w:val="left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峰值波长：385nm</w:t>
      </w:r>
      <w:r>
        <w:rPr>
          <w:rFonts w:ascii="宋体" w:hAnsi="宋体" w:eastAsia="宋体" w:cs="宋体"/>
          <w:sz w:val="24"/>
          <w:szCs w:val="24"/>
        </w:rPr>
        <w:t>±5nm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（可替换成365nm</w:t>
      </w:r>
      <w:r>
        <w:rPr>
          <w:rFonts w:ascii="宋体" w:hAnsi="宋体" w:eastAsia="宋体" w:cs="宋体"/>
          <w:sz w:val="24"/>
          <w:szCs w:val="24"/>
        </w:rPr>
        <w:t>±5nm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）, 470nm</w:t>
      </w:r>
      <w:r>
        <w:rPr>
          <w:rFonts w:ascii="宋体" w:hAnsi="宋体" w:eastAsia="宋体" w:cs="宋体"/>
          <w:sz w:val="24"/>
          <w:szCs w:val="24"/>
        </w:rPr>
        <w:t>±5nm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, 525nm</w:t>
      </w:r>
      <w:r>
        <w:rPr>
          <w:rFonts w:ascii="宋体" w:hAnsi="宋体" w:eastAsia="宋体" w:cs="宋体"/>
          <w:sz w:val="24"/>
          <w:szCs w:val="24"/>
        </w:rPr>
        <w:t>±5nm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, 635nm</w:t>
      </w:r>
      <w:r>
        <w:rPr>
          <w:rFonts w:ascii="宋体" w:hAnsi="宋体" w:eastAsia="宋体" w:cs="宋体"/>
          <w:sz w:val="24"/>
          <w:szCs w:val="24"/>
        </w:rPr>
        <w:t>±5nm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；</w:t>
      </w:r>
    </w:p>
    <w:p w14:paraId="6DEB37F5">
      <w:pPr>
        <w:pStyle w:val="18"/>
        <w:spacing w:after="160" w:line="278" w:lineRule="auto"/>
        <w:ind w:firstLine="0" w:firstLineChars="0"/>
        <w:contextualSpacing/>
        <w:jc w:val="left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光功率：直接耦合：≥6w;φ3 LLG输出 ≥ 3.2W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09B9729C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标配磁吸滤片插槽，适配直径25mm，厚度≤3.5mm的滤光片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DA5EA6E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光传导方式：直接耦合或LLG液态光纤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B5B29D5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光功率稳定性：≥98%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8EA1451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控制方式：控制器、TTL触发、串口通信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7B43EA53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工作模式：独立调光、全局调光、TTL触发、序列触发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8F40EEB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控制器：旋钮+按键+≥3.5寸显示屏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A3156AB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光强调整：0-100%线性调光；1%调光步长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319B94F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TTL触发：≥4个独立BNC接口(DB9 to 4*BNC)；响应时间&lt;5μs；</w:t>
      </w:r>
    </w:p>
    <w:p w14:paraId="78A0091D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通信接口：USB（提供串口通信协议）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43D3180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电压：AC100-240V(±10%),50/60Hz；</w:t>
      </w:r>
    </w:p>
    <w:p w14:paraId="1F9A9C19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.电功率：</w:t>
      </w:r>
      <w:bookmarkStart w:id="1" w:name="OLE_LINK3"/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≤</w:t>
      </w:r>
      <w:bookmarkEnd w:id="1"/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85W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1B2FCF01">
      <w:pPr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外观规格（WLH）：灯箱：≤84mm*210mm*174mm；控制器：≤135mm*110mm*75mm；</w:t>
      </w:r>
    </w:p>
    <w:p w14:paraId="50B1D663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重量：  灯箱：≤1.9kg ，控制器：≤0.55kg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26FF8E5B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噪音：≤48dB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3D31D6C5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使用环境（仅室内）：温度：0-40°C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01E592C6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储存温度和湿度：温度：-15至60°C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E42FFDA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冷却方式：强制风冷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254D3DC">
      <w:pP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光源寿命：LED冷光源：≥30000小时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E392353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24"/>
          <w:szCs w:val="24"/>
        </w:rPr>
      </w:pPr>
      <w:r>
        <w:rPr>
          <w:rFonts w:hint="eastAsia" w:ascii="黑体" w:hAnsi="黑体" w:eastAsia="黑体" w:cs="黑体"/>
          <w:bCs/>
          <w:sz w:val="24"/>
          <w:szCs w:val="24"/>
        </w:rPr>
        <w:t>五、高速大容量台式冷冻离心机</w:t>
      </w:r>
    </w:p>
    <w:p w14:paraId="4BBD310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</w:t>
      </w:r>
    </w:p>
    <w:p w14:paraId="28A1F03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高速冷冻离心机是实验室必备的基础仪器，主要用于样本的高速离心，活性成分的分离，如：细菌、核酸、蛋白的沉淀，细胞、亚细胞、细胞膜等的分离，各种酶的提取等，应用范围非常广。</w:t>
      </w:r>
    </w:p>
    <w:p w14:paraId="40E259FB">
      <w:pPr>
        <w:numPr>
          <w:ilvl w:val="0"/>
          <w:numId w:val="2"/>
        </w:num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功能要求：需要满足大容量样本同时离心，细胞、亚细胞、细胞膜等的分离，需离心容量不小于4×1000ml的低速离心，还有各种酶的提取等，同时支持后期适配高速离心的角转头，满足13000rpm以上转速的样本离心；</w:t>
      </w:r>
    </w:p>
    <w:p w14:paraId="33C2294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2107DA5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屏幕： 全彩色触摸屏，让操作和运行一目了然；</w:t>
      </w:r>
    </w:p>
    <w:p w14:paraId="2948B6F0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离心最大容量: ≥4×1000 mL；最高转速：≥ 15200rpm， 步进为1rpm ，最大离心力：≥25830×g，步进为1xg； </w:t>
      </w:r>
    </w:p>
    <w:p w14:paraId="4D327294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温度设定范围：-20℃至+40℃；</w:t>
      </w:r>
    </w:p>
    <w:p w14:paraId="218EE3D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加减速控制：9级加速, 10级减速；</w:t>
      </w:r>
    </w:p>
    <w:p w14:paraId="2A499A7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转头锁定系统：Auto-Lock转头自锁，具有转头自动锁定装置，可以在3秒内实现转头的安全锁定&amp;转头更换；</w:t>
      </w:r>
    </w:p>
    <w:p w14:paraId="28B39DB2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生物安全性保证：提供所有转子的防生物污染密封盖，每个转头盖子提供经第三方认证的证书。可以单手操作，无需旋盖及搭扣，并可以确保密封；</w:t>
      </w:r>
    </w:p>
    <w:p w14:paraId="27C2B68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7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驱动系统：无碳刷大力矩电机直接驱动；</w:t>
      </w:r>
    </w:p>
    <w:p w14:paraId="4F7B9E9D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8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程序：可存储不低于100个程序，每个程序可以进行多步骤程序设定；</w:t>
      </w:r>
    </w:p>
    <w:p w14:paraId="79900C8C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9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数据记录: 记录所有的运行记录，并且可以实时查看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DE68A4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温度显示: 可以选择显示离心腔温度或样品温度，速度设定: 可以选择转速设定和离心力设定；</w:t>
      </w:r>
    </w:p>
    <w:p w14:paraId="6202A15E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11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ACE 模式：任一运行条件，保证运行相同的总离心力；</w:t>
      </w:r>
    </w:p>
    <w:p w14:paraId="644A2570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可使用具有出色耐用性碳纤维转头，分离效果更加，可查看转头生命周期: 及离心机的运行情况，以及查看转头的运行情况，包括旋转周期总数和剩余周期数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141BBBF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可选配转子数量: </w:t>
      </w:r>
      <w:r>
        <w:rPr>
          <w:rFonts w:ascii="方正仿宋_GB2312" w:hAnsi="方正仿宋_GB2312" w:eastAsia="方正仿宋_GB2312" w:cs="方正仿宋_GB2312"/>
          <w:sz w:val="24"/>
          <w:szCs w:val="24"/>
        </w:rPr>
        <w:t>≥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18个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。</w:t>
      </w:r>
    </w:p>
    <w:p w14:paraId="5ACFA1F6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14</w:t>
      </w: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配置：</w:t>
      </w:r>
    </w:p>
    <w:p w14:paraId="0D53CBB6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主机一台，TX-1000 水平转头(最大容量4×1000毫升)，最大转速≥4200转/分；最大离心力≥4122×g，40x 50 mL尖底管离心管一套，96 x 15 mL尖底离心管适配器一套，酶标板载架适配器一套（</w:t>
      </w:r>
      <w:bookmarkStart w:id="2" w:name="_GoBack"/>
      <w:bookmarkEnd w:id="2"/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 x 6 标准版或 4 x 2 深孔标准版）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 </w:t>
      </w:r>
    </w:p>
    <w:p w14:paraId="28B4BED2">
      <w:p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24"/>
          <w:szCs w:val="24"/>
        </w:rPr>
      </w:pPr>
      <w:r>
        <w:rPr>
          <w:rFonts w:hint="eastAsia" w:ascii="黑体" w:hAnsi="黑体" w:eastAsia="黑体" w:cs="黑体"/>
          <w:bCs/>
          <w:sz w:val="24"/>
          <w:szCs w:val="24"/>
        </w:rPr>
        <w:t>六、显微镜荧光汞灯</w:t>
      </w:r>
    </w:p>
    <w:p w14:paraId="63BDCCDA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</w:t>
      </w:r>
    </w:p>
    <w:p w14:paraId="0368AB2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用于显微镜荧光激发外部光源的灯泡更换。</w:t>
      </w:r>
    </w:p>
    <w:p w14:paraId="617AB67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2.功能要求：更换灯泡后可进行荧光图像观察。</w:t>
      </w:r>
    </w:p>
    <w:p w14:paraId="3BB7792E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797EBC15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功率：≥120W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353ABF79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杯径：≤67mm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14DA8A30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长度：≤77mm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E0A415A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流明：≥2800lm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58BA0F85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寿命：≥2000小时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7BD5880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至少能适用Leica一个型号的显微镜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。</w:t>
      </w:r>
    </w:p>
    <w:p w14:paraId="55D6B1D4">
      <w:pPr>
        <w:adjustRightInd w:val="0"/>
        <w:snapToGrid w:val="0"/>
        <w:spacing w:line="560" w:lineRule="exact"/>
        <w:rPr>
          <w:rFonts w:ascii="黑体" w:hAnsi="黑体" w:eastAsia="黑体" w:cs="黑体"/>
          <w:bCs/>
          <w:sz w:val="24"/>
          <w:szCs w:val="24"/>
        </w:rPr>
      </w:pPr>
      <w:r>
        <w:rPr>
          <w:rFonts w:hint="eastAsia" w:ascii="黑体" w:hAnsi="黑体" w:eastAsia="黑体" w:cs="黑体"/>
          <w:bCs/>
          <w:sz w:val="24"/>
          <w:szCs w:val="24"/>
        </w:rPr>
        <w:t>七、荧光激发外部光源</w:t>
      </w:r>
    </w:p>
    <w:p w14:paraId="68DA10B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1.用途要求：用于荧光显微镜的外置荧光光源。</w:t>
      </w:r>
    </w:p>
    <w:p w14:paraId="014B11D9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2.功能要求：可控制荧光光强、荧光光源的开关等。</w:t>
      </w:r>
    </w:p>
    <w:p w14:paraId="766385F8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4B1C347E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光源可使热量远离标本与显微镜，它采用了无需校准的水银金属卤素灯泡，使用寿命可达 2000 小时以上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0F4DA42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6 毫秒内关闭激发光线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695A6FD3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专用衰减器可减少激发光线的强度，以减少对活标本造成的光漂白和造成的刺激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3DD130B5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4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合适重量激发光元件可减少体视显微镜 Z 轴上承受的重量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；</w:t>
      </w:r>
    </w:p>
    <w:p w14:paraId="47605C1B">
      <w:pPr>
        <w:adjustRightInd w:val="0"/>
        <w:snapToGrid w:val="0"/>
        <w:spacing w:line="560" w:lineRule="exact"/>
        <w:ind w:firstLine="480" w:firstLineChars="200"/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至少能适用Leica一个型号的显微镜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。</w:t>
      </w:r>
    </w:p>
    <w:p w14:paraId="3A493D5B">
      <w:pPr>
        <w:adjustRightInd w:val="0"/>
        <w:snapToGrid w:val="0"/>
        <w:spacing w:line="560" w:lineRule="exact"/>
        <w:ind w:firstLine="480" w:firstLineChars="200"/>
        <w:jc w:val="center"/>
        <w:rPr>
          <w:rFonts w:ascii="方正仿宋_GB2312" w:hAnsi="方正仿宋_GB2312" w:eastAsia="方正仿宋_GB2312" w:cs="方正仿宋_GB2312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Bookman Old Style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2044B9BB">
            <w:pPr>
              <w:pStyle w:val="8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3D0C49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BF5404"/>
    <w:multiLevelType w:val="singleLevel"/>
    <w:tmpl w:val="B0BF540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B296B35"/>
    <w:multiLevelType w:val="singleLevel"/>
    <w:tmpl w:val="6B296B35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hYTI4YTVmMjI4NmQ4Yjg0MDJhY2E2OTg5YTBmYTU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290A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57F1E"/>
    <w:rsid w:val="00275A0E"/>
    <w:rsid w:val="00277D97"/>
    <w:rsid w:val="00280463"/>
    <w:rsid w:val="00284C48"/>
    <w:rsid w:val="0029035F"/>
    <w:rsid w:val="002966A1"/>
    <w:rsid w:val="00297733"/>
    <w:rsid w:val="002A6527"/>
    <w:rsid w:val="002C25D1"/>
    <w:rsid w:val="002C4F43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61984"/>
    <w:rsid w:val="004740E5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0728D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0B26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4593"/>
    <w:rsid w:val="007A73BA"/>
    <w:rsid w:val="007C2B74"/>
    <w:rsid w:val="007D51AF"/>
    <w:rsid w:val="007E0D60"/>
    <w:rsid w:val="007E1A03"/>
    <w:rsid w:val="007E356C"/>
    <w:rsid w:val="007E3C56"/>
    <w:rsid w:val="007F3C1C"/>
    <w:rsid w:val="007F6CBF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24F2B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0EB5"/>
    <w:rsid w:val="009D4E43"/>
    <w:rsid w:val="009D4F11"/>
    <w:rsid w:val="009F21D6"/>
    <w:rsid w:val="009F2C7B"/>
    <w:rsid w:val="009F3771"/>
    <w:rsid w:val="00A07A49"/>
    <w:rsid w:val="00A15665"/>
    <w:rsid w:val="00A2341E"/>
    <w:rsid w:val="00A23699"/>
    <w:rsid w:val="00A325FB"/>
    <w:rsid w:val="00A421CC"/>
    <w:rsid w:val="00A4245B"/>
    <w:rsid w:val="00A55010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C10A42"/>
    <w:rsid w:val="00C17AEE"/>
    <w:rsid w:val="00C26419"/>
    <w:rsid w:val="00C33CC9"/>
    <w:rsid w:val="00C36D7D"/>
    <w:rsid w:val="00C412B9"/>
    <w:rsid w:val="00C42CAD"/>
    <w:rsid w:val="00C444F5"/>
    <w:rsid w:val="00C4752A"/>
    <w:rsid w:val="00C54D91"/>
    <w:rsid w:val="00C9444C"/>
    <w:rsid w:val="00C95D0E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75821"/>
    <w:rsid w:val="00D75B00"/>
    <w:rsid w:val="00D80224"/>
    <w:rsid w:val="00D81620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453"/>
    <w:rsid w:val="00F6283F"/>
    <w:rsid w:val="00F8009F"/>
    <w:rsid w:val="00F80D09"/>
    <w:rsid w:val="00FA2E67"/>
    <w:rsid w:val="00FA3589"/>
    <w:rsid w:val="00FD5BF7"/>
    <w:rsid w:val="02544950"/>
    <w:rsid w:val="02CB7CC3"/>
    <w:rsid w:val="035379C9"/>
    <w:rsid w:val="0505401D"/>
    <w:rsid w:val="06CB196A"/>
    <w:rsid w:val="091E78D4"/>
    <w:rsid w:val="0AF1489C"/>
    <w:rsid w:val="0CAF6E1C"/>
    <w:rsid w:val="114D25A5"/>
    <w:rsid w:val="116504EB"/>
    <w:rsid w:val="12513589"/>
    <w:rsid w:val="13217712"/>
    <w:rsid w:val="17CA18DE"/>
    <w:rsid w:val="17D17482"/>
    <w:rsid w:val="188D6A65"/>
    <w:rsid w:val="1AB53561"/>
    <w:rsid w:val="1B2550D0"/>
    <w:rsid w:val="1BE020E7"/>
    <w:rsid w:val="1BF0106F"/>
    <w:rsid w:val="1C735D4E"/>
    <w:rsid w:val="1DCC4D4C"/>
    <w:rsid w:val="20A6370E"/>
    <w:rsid w:val="245B6A54"/>
    <w:rsid w:val="24F365AA"/>
    <w:rsid w:val="2638238C"/>
    <w:rsid w:val="265F2C81"/>
    <w:rsid w:val="2D757E64"/>
    <w:rsid w:val="325964BE"/>
    <w:rsid w:val="35CB558F"/>
    <w:rsid w:val="35E31891"/>
    <w:rsid w:val="3727228C"/>
    <w:rsid w:val="3AF0790A"/>
    <w:rsid w:val="3BAF3BA9"/>
    <w:rsid w:val="3E633671"/>
    <w:rsid w:val="42A85EE1"/>
    <w:rsid w:val="42B555FD"/>
    <w:rsid w:val="44B671C3"/>
    <w:rsid w:val="453F180C"/>
    <w:rsid w:val="47C80214"/>
    <w:rsid w:val="48440D6F"/>
    <w:rsid w:val="49507771"/>
    <w:rsid w:val="4BC845F3"/>
    <w:rsid w:val="4C147878"/>
    <w:rsid w:val="4E1D594A"/>
    <w:rsid w:val="507E7976"/>
    <w:rsid w:val="51EE6736"/>
    <w:rsid w:val="52547CC5"/>
    <w:rsid w:val="52D00D6F"/>
    <w:rsid w:val="560153A1"/>
    <w:rsid w:val="56C01185"/>
    <w:rsid w:val="583018FD"/>
    <w:rsid w:val="5B3B50D9"/>
    <w:rsid w:val="5D4F0619"/>
    <w:rsid w:val="5F6779B8"/>
    <w:rsid w:val="5F8761F4"/>
    <w:rsid w:val="60583F0C"/>
    <w:rsid w:val="64531993"/>
    <w:rsid w:val="649A3955"/>
    <w:rsid w:val="64D2456D"/>
    <w:rsid w:val="690D37B6"/>
    <w:rsid w:val="690E1AF7"/>
    <w:rsid w:val="6B753CBF"/>
    <w:rsid w:val="6C8847C1"/>
    <w:rsid w:val="6CD14AEF"/>
    <w:rsid w:val="6D713C1C"/>
    <w:rsid w:val="70664E1C"/>
    <w:rsid w:val="71A12863"/>
    <w:rsid w:val="73AF381F"/>
    <w:rsid w:val="74706C32"/>
    <w:rsid w:val="765B19D5"/>
    <w:rsid w:val="789152AB"/>
    <w:rsid w:val="790E45FA"/>
    <w:rsid w:val="7B9F7460"/>
    <w:rsid w:val="7BB83AD6"/>
    <w:rsid w:val="7D5F040E"/>
    <w:rsid w:val="7E035DB2"/>
    <w:rsid w:val="7EC9423F"/>
    <w:rsid w:val="7F7C059A"/>
    <w:rsid w:val="7FC701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0"/>
    <w:unhideWhenUsed/>
    <w:qFormat/>
    <w:uiPriority w:val="99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link w:val="29"/>
    <w:qFormat/>
    <w:uiPriority w:val="0"/>
    <w:rPr>
      <w:rFonts w:ascii="宋体" w:cs="Courier New"/>
      <w:szCs w:val="21"/>
    </w:rPr>
  </w:style>
  <w:style w:type="paragraph" w:styleId="7">
    <w:name w:val="Balloon Text"/>
    <w:basedOn w:val="1"/>
    <w:link w:val="28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annotation subject"/>
    <w:basedOn w:val="3"/>
    <w:next w:val="3"/>
    <w:link w:val="31"/>
    <w:semiHidden/>
    <w:unhideWhenUsed/>
    <w:qFormat/>
    <w:uiPriority w:val="99"/>
    <w:rPr>
      <w:b/>
      <w:bCs/>
    </w:rPr>
  </w:style>
  <w:style w:type="paragraph" w:styleId="13">
    <w:name w:val="Body Text First Indent 2"/>
    <w:basedOn w:val="5"/>
    <w:unhideWhenUsed/>
    <w:qFormat/>
    <w:uiPriority w:val="99"/>
    <w:pPr>
      <w:ind w:firstLine="420" w:firstLineChars="200"/>
    </w:pPr>
  </w:style>
  <w:style w:type="character" w:styleId="16">
    <w:name w:val="Strong"/>
    <w:basedOn w:val="15"/>
    <w:qFormat/>
    <w:uiPriority w:val="0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styleId="17">
    <w:name w:val="annotation reference"/>
    <w:basedOn w:val="15"/>
    <w:semiHidden/>
    <w:unhideWhenUsed/>
    <w:qFormat/>
    <w:uiPriority w:val="99"/>
    <w:rPr>
      <w:sz w:val="16"/>
      <w:szCs w:val="16"/>
    </w:rPr>
  </w:style>
  <w:style w:type="paragraph" w:styleId="18">
    <w:name w:val="List Paragraph"/>
    <w:basedOn w:val="1"/>
    <w:link w:val="27"/>
    <w:qFormat/>
    <w:uiPriority w:val="1"/>
    <w:pPr>
      <w:ind w:firstLine="420" w:firstLineChars="200"/>
    </w:pPr>
  </w:style>
  <w:style w:type="character" w:customStyle="1" w:styleId="19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20">
    <w:name w:val="页脚 字符"/>
    <w:basedOn w:val="15"/>
    <w:link w:val="8"/>
    <w:qFormat/>
    <w:uiPriority w:val="99"/>
    <w:rPr>
      <w:sz w:val="18"/>
      <w:szCs w:val="18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2">
    <w:name w:val="副标题 字符"/>
    <w:link w:val="10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3">
    <w:name w:val="副标题 字符1"/>
    <w:basedOn w:val="15"/>
    <w:qFormat/>
    <w:uiPriority w:val="11"/>
    <w:rPr>
      <w:b/>
      <w:bCs/>
      <w:kern w:val="28"/>
      <w:sz w:val="32"/>
      <w:szCs w:val="32"/>
    </w:rPr>
  </w:style>
  <w:style w:type="paragraph" w:customStyle="1" w:styleId="24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5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6">
    <w:name w:val="Placeholder Text"/>
    <w:basedOn w:val="15"/>
    <w:semiHidden/>
    <w:qFormat/>
    <w:uiPriority w:val="99"/>
    <w:rPr>
      <w:color w:val="808080"/>
    </w:rPr>
  </w:style>
  <w:style w:type="character" w:customStyle="1" w:styleId="27">
    <w:name w:val="列出段落 字符"/>
    <w:link w:val="18"/>
    <w:qFormat/>
    <w:uiPriority w:val="1"/>
  </w:style>
  <w:style w:type="character" w:customStyle="1" w:styleId="28">
    <w:name w:val="批注框文本 字符"/>
    <w:basedOn w:val="15"/>
    <w:link w:val="7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character" w:customStyle="1" w:styleId="29">
    <w:name w:val="纯文本 字符"/>
    <w:basedOn w:val="15"/>
    <w:link w:val="6"/>
    <w:qFormat/>
    <w:uiPriority w:val="0"/>
    <w:rPr>
      <w:rFonts w:ascii="宋体" w:cs="Courier New" w:hAnsiTheme="minorHAnsi" w:eastAsiaTheme="minorEastAsia"/>
      <w:kern w:val="2"/>
      <w:sz w:val="21"/>
      <w:szCs w:val="21"/>
    </w:rPr>
  </w:style>
  <w:style w:type="character" w:customStyle="1" w:styleId="30">
    <w:name w:val="批注文字 字符"/>
    <w:basedOn w:val="15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1">
    <w:name w:val="批注主题 字符"/>
    <w:basedOn w:val="30"/>
    <w:link w:val="12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32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78735-2790-466D-8131-8197A42896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3515</Words>
  <Characters>3805</Characters>
  <Lines>43</Lines>
  <Paragraphs>12</Paragraphs>
  <TotalTime>8</TotalTime>
  <ScaleCrop>false</ScaleCrop>
  <LinksUpToDate>false</LinksUpToDate>
  <CharactersWithSpaces>3845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张帅磊</cp:lastModifiedBy>
  <dcterms:modified xsi:type="dcterms:W3CDTF">2026-07-11T08:06:55Z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D69DD57883A942248F567489E08343BA_13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