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rPr>
        <w:t>台式X荧光光谱仪</w:t>
      </w:r>
      <w:r>
        <w:rPr>
          <w:rFonts w:hint="eastAsia" w:ascii="方正小标宋简体" w:hAnsi="方正小标宋简体" w:eastAsia="方正小标宋简体" w:cs="方正小标宋简体"/>
          <w:sz w:val="44"/>
          <w:szCs w:val="44"/>
          <w:lang w:val="zh-CN"/>
        </w:rPr>
        <w:t>商务要求</w:t>
      </w:r>
    </w:p>
    <w:p w14:paraId="2B32A25B">
      <w:pPr>
        <w:pStyle w:val="10"/>
      </w:pPr>
    </w:p>
    <w:p w14:paraId="4D686AAF">
      <w:pPr>
        <w:pStyle w:val="15"/>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1.设备安装、调试和验收（在合同签订后执行）</w:t>
      </w:r>
    </w:p>
    <w:p w14:paraId="1F7F375C">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1.3如果由于仪器本身原因而在3个月内调试没有通过，可返厂维修，或更换一套全新的相同型号配置仪器。</w:t>
      </w:r>
    </w:p>
    <w:p w14:paraId="1D84E292">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2.技术培训</w:t>
      </w:r>
    </w:p>
    <w:p w14:paraId="432427A7">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2.1设备安装调试完成后，中标人应对采购人用户技术人员进行调试、操作、仪器维护、故障排除等方面的免费现场培训。</w:t>
      </w:r>
    </w:p>
    <w:p w14:paraId="7F781BEC">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2.2初级培训：仪器安装调试完，验收前，中标人工程师在现场就仪器的维护、基本操作、日常保养、潜在故障分析等各方面提供2人以上免费初步培训，培训周期不少于2天。</w:t>
      </w:r>
    </w:p>
    <w:p w14:paraId="24F6D6E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2.3应用培训：在初级培训结束后，待采购人使用一段时间，中标人派遣专门的应用工程师到客户现场进行高级应用培训。2人以上免费培训时间不少于2天，具体培训内容与日期由双方协商确定。</w:t>
      </w:r>
    </w:p>
    <w:p w14:paraId="66A0BF5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3.保修期</w:t>
      </w:r>
    </w:p>
    <w:p w14:paraId="1531161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提供不低于12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4.中标人提供终身维修服务</w:t>
      </w:r>
    </w:p>
    <w:p w14:paraId="34CA8D11">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4.2过保修期后配件、耗材按不高于市场价的7折提供。</w:t>
      </w:r>
    </w:p>
    <w:p w14:paraId="3AD86903">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5.维修响应时间</w:t>
      </w:r>
    </w:p>
    <w:p w14:paraId="7918EA16">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5DD144D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6.维修质量</w:t>
      </w:r>
    </w:p>
    <w:p w14:paraId="2DFEFFB4">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0E20B59E">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7.软件升级</w:t>
      </w:r>
    </w:p>
    <w:p w14:paraId="62160D43">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7.1在硬件支持的前提下，终身免费为采购人用户提供软件升级服务。</w:t>
      </w:r>
    </w:p>
    <w:p w14:paraId="426894DE">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9.验收</w:t>
      </w:r>
    </w:p>
    <w:p w14:paraId="755EED96">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9.3 验收期限：仪器安装、调试、培训完毕后正常试运之后组织验收。中标人应派相关人员参加并协助采购人进行验收，验收流程与方法按采购人的规定执行。</w:t>
      </w:r>
    </w:p>
    <w:p w14:paraId="614DAF3A">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9.4 在采购人对主机、附件、软件的性能和功能进行测试合格基础上，由采购人授权人签字验收。</w:t>
      </w:r>
    </w:p>
    <w:p w14:paraId="15D929FE">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10.其他要求</w:t>
      </w:r>
    </w:p>
    <w:p w14:paraId="16A871E3">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所有投标人必须提供技术成熟的定型产品，不接受通过改造才能达标的产品，不接受目前尚处于开发、设计、研制或试验阶段的产品。</w:t>
      </w:r>
    </w:p>
    <w:p w14:paraId="04F243C3">
      <w:pPr>
        <w:pStyle w:val="15"/>
        <w:kinsoku w:val="0"/>
        <w:overflowPunct w:val="0"/>
        <w:autoSpaceDE w:val="0"/>
        <w:autoSpaceDN w:val="0"/>
        <w:spacing w:line="288" w:lineRule="auto"/>
        <w:ind w:firstLine="0" w:firstLineChars="0"/>
        <w:outlineLvl w:val="0"/>
        <w:rPr>
          <w:rFonts w:ascii="黑体" w:hAnsi="黑体" w:eastAsia="黑体" w:cs="黑体"/>
          <w:bCs/>
          <w:sz w:val="24"/>
          <w:szCs w:val="24"/>
        </w:rPr>
      </w:pPr>
      <w:r>
        <w:rPr>
          <w:rFonts w:hint="eastAsia" w:ascii="黑体" w:hAnsi="黑体" w:eastAsia="黑体" w:cs="黑体"/>
          <w:bCs/>
          <w:sz w:val="24"/>
          <w:szCs w:val="24"/>
        </w:rPr>
        <w:t>二、包装要求及运输方式</w:t>
      </w:r>
    </w:p>
    <w:p w14:paraId="2CEF62BD">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2.在未收货前，货物保管、安全均由中标人负责。</w:t>
      </w:r>
    </w:p>
    <w:p w14:paraId="51CBC80E">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3.提供的产品须为全新原装正品，相关配套附件质量优良，数量齐全。</w:t>
      </w:r>
    </w:p>
    <w:p w14:paraId="464AC7CB">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4.中标人需注明仪器设备的免费上门质保期限和具体的维修保障内容。在质保期满后，中标人应提供终身上门维修保养且仅收取成本费。</w:t>
      </w:r>
    </w:p>
    <w:p w14:paraId="409E388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5.采购人使用该设备的任何一部分，当受第三方提出的侵犯其专利权、商标权或工业设计权的投诉时，一切后果由中标人负责。</w:t>
      </w:r>
    </w:p>
    <w:p w14:paraId="05F3C286">
      <w:pPr>
        <w:pStyle w:val="15"/>
        <w:kinsoku w:val="0"/>
        <w:overflowPunct w:val="0"/>
        <w:autoSpaceDE w:val="0"/>
        <w:autoSpaceDN w:val="0"/>
        <w:spacing w:line="288" w:lineRule="auto"/>
        <w:ind w:firstLine="0" w:firstLineChars="0"/>
        <w:outlineLvl w:val="0"/>
        <w:rPr>
          <w:rFonts w:ascii="黑体" w:hAnsi="黑体" w:eastAsia="黑体" w:cs="黑体"/>
          <w:bCs/>
          <w:sz w:val="24"/>
          <w:szCs w:val="24"/>
          <w:lang w:val="zh-CN"/>
        </w:rPr>
      </w:pPr>
      <w:r>
        <w:rPr>
          <w:rFonts w:hint="eastAsia" w:ascii="黑体" w:hAnsi="黑体" w:eastAsia="黑体" w:cs="黑体"/>
          <w:bCs/>
          <w:sz w:val="24"/>
          <w:szCs w:val="24"/>
          <w:lang w:val="zh-CN"/>
        </w:rPr>
        <w:t>三、付款方式与交货</w:t>
      </w:r>
    </w:p>
    <w:p w14:paraId="41FDE7D9">
      <w:pPr>
        <w:adjustRightInd w:val="0"/>
        <w:snapToGrid w:val="0"/>
        <w:spacing w:line="560" w:lineRule="exact"/>
        <w:ind w:firstLine="480" w:firstLineChars="200"/>
        <w:rPr>
          <w:rFonts w:ascii="方正仿宋_GB2312" w:hAnsi="方正仿宋_GB2312" w:eastAsia="方正仿宋_GB2312" w:cs="方正仿宋_GB2312"/>
          <w:sz w:val="24"/>
          <w:szCs w:val="24"/>
        </w:rPr>
      </w:pPr>
      <w:bookmarkStart w:id="0" w:name="_Hlk79778165"/>
      <w:r>
        <w:rPr>
          <w:rFonts w:hint="eastAsia" w:ascii="方正仿宋_GB2312" w:hAnsi="方正仿宋_GB2312" w:eastAsia="方正仿宋_GB2312" w:cs="方正仿宋_GB2312"/>
          <w:sz w:val="24"/>
          <w:szCs w:val="24"/>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2.付款方式：</w:t>
      </w:r>
      <w:bookmarkStart w:id="1" w:name="_Hlk91771041"/>
    </w:p>
    <w:p w14:paraId="00E08CE6">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2.1进口设备：100%信用证，见报关单后支付不高于合同全款的80%，验收合格后15个工作日内凭交接验收文件支付剩余款项。</w:t>
      </w:r>
    </w:p>
    <w:p w14:paraId="2E1ACC5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2.2国产设备：</w:t>
      </w:r>
      <w:bookmarkEnd w:id="1"/>
      <w:r>
        <w:rPr>
          <w:rFonts w:hint="eastAsia" w:ascii="方正仿宋_GB2312" w:hAnsi="方正仿宋_GB2312" w:eastAsia="方正仿宋_GB2312" w:cs="方正仿宋_GB2312"/>
          <w:sz w:val="24"/>
          <w:szCs w:val="24"/>
        </w:rPr>
        <w:t>在验收合格之后，采购人向中标人支付合同全款的100%。</w:t>
      </w:r>
    </w:p>
    <w:p w14:paraId="15C0223A">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2.3采购人凭中标人提供的等额</w:t>
      </w:r>
      <w:r>
        <w:rPr>
          <w:rFonts w:hint="eastAsia" w:ascii="方正仿宋_GB2312" w:hAnsi="方正仿宋_GB2312" w:eastAsia="方正仿宋_GB2312" w:cs="方正仿宋_GB2312"/>
          <w:b/>
          <w:bCs/>
          <w:sz w:val="24"/>
          <w:szCs w:val="24"/>
        </w:rPr>
        <w:t>法定增值税专用发票</w:t>
      </w:r>
      <w:r>
        <w:rPr>
          <w:rFonts w:hint="eastAsia" w:ascii="方正仿宋_GB2312" w:hAnsi="方正仿宋_GB2312" w:eastAsia="方正仿宋_GB2312" w:cs="方正仿宋_GB2312"/>
          <w:sz w:val="24"/>
          <w:szCs w:val="24"/>
        </w:rPr>
        <w:t>，向中标人付款。中标人延期提供发票，则采购人付款时间相应顺延。</w:t>
      </w:r>
    </w:p>
    <w:p w14:paraId="48E06CA4">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3.交货时间：合同签订后 3个月内。</w:t>
      </w:r>
    </w:p>
    <w:p w14:paraId="5ADA0653">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4.交货内容</w:t>
      </w:r>
    </w:p>
    <w:p w14:paraId="00689DD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4.1设备主件及附件。</w:t>
      </w:r>
    </w:p>
    <w:p w14:paraId="2A8402F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4.2设备各种资料，包括提供设备出厂合格证、使用说明书、质量证明文件、装箱单等。</w:t>
      </w:r>
    </w:p>
    <w:p w14:paraId="73CCF3D7">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5.交货地点：</w:t>
      </w:r>
      <w:r>
        <w:rPr>
          <w:rFonts w:hint="eastAsia" w:ascii="方正仿宋_GB2312" w:hAnsi="方正仿宋_GB2312" w:eastAsia="方正仿宋_GB2312" w:cs="方正仿宋_GB2312"/>
          <w:sz w:val="24"/>
          <w:szCs w:val="24"/>
          <w:lang w:val="en-US" w:eastAsia="zh-CN"/>
        </w:rPr>
        <w:t>中南大学</w:t>
      </w:r>
      <w:bookmarkStart w:id="2" w:name="_GoBack"/>
      <w:bookmarkEnd w:id="2"/>
      <w:r>
        <w:rPr>
          <w:rFonts w:hint="eastAsia" w:ascii="方正仿宋_GB2312" w:hAnsi="方正仿宋_GB2312" w:eastAsia="方正仿宋_GB2312" w:cs="方正仿宋_GB2312"/>
          <w:sz w:val="24"/>
          <w:szCs w:val="24"/>
        </w:rPr>
        <w:t>。</w:t>
      </w:r>
    </w:p>
    <w:p w14:paraId="36D21A3D"/>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6"/>
              <w:jc w:val="center"/>
            </w:pP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w:t>
            </w:r>
            <w:r>
              <w:rPr>
                <w:b/>
                <w:bCs/>
                <w:sz w:val="24"/>
                <w:szCs w:val="24"/>
              </w:rPr>
              <w:fldChar w:fldCharType="end"/>
            </w:r>
          </w:p>
        </w:sdtContent>
      </w:sdt>
    </w:sdtContent>
  </w:sdt>
  <w:p w14:paraId="4E3746D6">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22267C"/>
    <w:rsid w:val="002D4FE8"/>
    <w:rsid w:val="006E765F"/>
    <w:rsid w:val="00AA35A5"/>
    <w:rsid w:val="0C950531"/>
    <w:rsid w:val="13706BC3"/>
    <w:rsid w:val="19CF1518"/>
    <w:rsid w:val="1AF844CE"/>
    <w:rsid w:val="3EEB694F"/>
    <w:rsid w:val="4A22267C"/>
    <w:rsid w:val="53462B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qFormat/>
    <w:uiPriority w:val="0"/>
    <w:pPr>
      <w:jc w:val="left"/>
    </w:pPr>
  </w:style>
  <w:style w:type="paragraph" w:styleId="3">
    <w:name w:val="Body Text Indent"/>
    <w:basedOn w:val="1"/>
    <w:unhideWhenUsed/>
    <w:qFormat/>
    <w:uiPriority w:val="99"/>
    <w:pPr>
      <w:spacing w:after="120"/>
      <w:ind w:left="420" w:leftChars="200"/>
    </w:pPr>
  </w:style>
  <w:style w:type="paragraph" w:styleId="4">
    <w:name w:val="Plain Text"/>
    <w:basedOn w:val="1"/>
    <w:qFormat/>
    <w:uiPriority w:val="0"/>
    <w:rPr>
      <w:rFonts w:ascii="宋体" w:cs="Courier New"/>
      <w:szCs w:val="21"/>
    </w:rPr>
  </w:style>
  <w:style w:type="paragraph" w:styleId="5">
    <w:name w:val="Balloon Text"/>
    <w:basedOn w:val="1"/>
    <w:link w:val="19"/>
    <w:qFormat/>
    <w:uiPriority w:val="0"/>
    <w:rPr>
      <w:sz w:val="18"/>
      <w:szCs w:val="18"/>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beforeAutospacing="1" w:afterAutospacing="1"/>
      <w:jc w:val="left"/>
    </w:pPr>
    <w:rPr>
      <w:kern w:val="0"/>
      <w:sz w:val="24"/>
    </w:rPr>
  </w:style>
  <w:style w:type="paragraph" w:styleId="9">
    <w:name w:val="annotation subject"/>
    <w:basedOn w:val="2"/>
    <w:next w:val="2"/>
    <w:link w:val="18"/>
    <w:qFormat/>
    <w:uiPriority w:val="0"/>
    <w:rPr>
      <w:b/>
      <w:bCs/>
    </w:rPr>
  </w:style>
  <w:style w:type="paragraph" w:styleId="10">
    <w:name w:val="Body Text First Indent 2"/>
    <w:basedOn w:val="3"/>
    <w:unhideWhenUsed/>
    <w:qFormat/>
    <w:uiPriority w:val="99"/>
    <w:pPr>
      <w:ind w:firstLine="420" w:firstLineChars="200"/>
    </w:pPr>
  </w:style>
  <w:style w:type="character" w:styleId="13">
    <w:name w:val="Strong"/>
    <w:basedOn w:val="12"/>
    <w:qFormat/>
    <w:uiPriority w:val="0"/>
    <w:rPr>
      <w:b/>
    </w:rPr>
  </w:style>
  <w:style w:type="character" w:styleId="14">
    <w:name w:val="annotation reference"/>
    <w:basedOn w:val="12"/>
    <w:qFormat/>
    <w:uiPriority w:val="0"/>
    <w:rPr>
      <w:sz w:val="21"/>
      <w:szCs w:val="21"/>
    </w:rPr>
  </w:style>
  <w:style w:type="paragraph" w:styleId="15">
    <w:name w:val="List Paragraph"/>
    <w:basedOn w:val="1"/>
    <w:qFormat/>
    <w:uiPriority w:val="1"/>
    <w:pPr>
      <w:ind w:firstLine="420" w:firstLineChars="200"/>
    </w:pPr>
  </w:style>
  <w:style w:type="character" w:customStyle="1" w:styleId="16">
    <w:name w:val="页眉 字符"/>
    <w:basedOn w:val="12"/>
    <w:link w:val="7"/>
    <w:qFormat/>
    <w:uiPriority w:val="0"/>
    <w:rPr>
      <w:kern w:val="2"/>
      <w:sz w:val="18"/>
      <w:szCs w:val="18"/>
    </w:rPr>
  </w:style>
  <w:style w:type="character" w:customStyle="1" w:styleId="17">
    <w:name w:val="批注文字 字符"/>
    <w:basedOn w:val="12"/>
    <w:link w:val="2"/>
    <w:qFormat/>
    <w:uiPriority w:val="0"/>
    <w:rPr>
      <w:kern w:val="2"/>
      <w:sz w:val="21"/>
      <w:szCs w:val="22"/>
    </w:rPr>
  </w:style>
  <w:style w:type="character" w:customStyle="1" w:styleId="18">
    <w:name w:val="批注主题 字符"/>
    <w:basedOn w:val="17"/>
    <w:link w:val="9"/>
    <w:qFormat/>
    <w:uiPriority w:val="0"/>
    <w:rPr>
      <w:b/>
      <w:bCs/>
      <w:kern w:val="2"/>
      <w:sz w:val="21"/>
      <w:szCs w:val="22"/>
    </w:rPr>
  </w:style>
  <w:style w:type="character" w:customStyle="1" w:styleId="19">
    <w:name w:val="批注框文本 字符"/>
    <w:basedOn w:val="12"/>
    <w:link w:val="5"/>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2455</Words>
  <Characters>2536</Characters>
  <Lines>18</Lines>
  <Paragraphs>5</Paragraphs>
  <TotalTime>1</TotalTime>
  <ScaleCrop>false</ScaleCrop>
  <LinksUpToDate>false</LinksUpToDate>
  <CharactersWithSpaces>2546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2025-11-08T03:08:00Z</dcterms:created>
  <dc:creator>Gu.KH</dc:creator>
  <cp:lastModifiedBy>段池</cp:lastModifiedBy>
  <dcterms:modified xsi:type="dcterms:W3CDTF">2025-11-20T03:56:47Z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22FA0F675CAE4DA5A6C198E11092593C_13</vt:lpwstr>
  </property>
  <property fmtid="{D5CDD505-2E9C-101B-9397-08002B2CF9AE}" pid="4" name="KSOTemplateDocerSaveRecord">
    <vt:lpwstr>eyJoZGlkIjoiMmVkMDYxNzg5YmJlZTUyODViYzkzNjVhMDVhMDUzYTYiLCJ1c2VySWQiOiIxNjg1MTkxNzc3In0=</vt:lpwstr>
  </property>
</Properties>
</file>