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3C25E7">
      <w:pPr>
        <w:spacing w:line="360" w:lineRule="auto"/>
        <w:ind w:firstLine="480" w:firstLineChars="200"/>
        <w:jc w:val="center"/>
        <w:rPr>
          <w:rFonts w:hint="eastAsia" w:ascii="宋体" w:hAnsi="宋体" w:eastAsia="宋体" w:cs="宋体"/>
          <w:sz w:val="24"/>
          <w:szCs w:val="24"/>
        </w:rPr>
      </w:pPr>
      <w:r>
        <w:rPr>
          <w:rFonts w:hint="eastAsia" w:ascii="宋体" w:hAnsi="宋体" w:eastAsia="宋体" w:cs="宋体"/>
          <w:sz w:val="24"/>
          <w:szCs w:val="24"/>
        </w:rPr>
        <w:t>原位红外表征系统</w:t>
      </w:r>
    </w:p>
    <w:p w14:paraId="1E86D248">
      <w:pPr>
        <w:spacing w:line="360" w:lineRule="auto"/>
        <w:ind w:firstLine="480" w:firstLineChars="200"/>
        <w:jc w:val="center"/>
        <w:rPr>
          <w:rFonts w:hint="eastAsia" w:ascii="宋体" w:hAnsi="宋体" w:eastAsia="宋体" w:cs="宋体"/>
          <w:sz w:val="24"/>
          <w:szCs w:val="24"/>
        </w:rPr>
      </w:pPr>
    </w:p>
    <w:p w14:paraId="353DD2F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原位红外表征系统是一种基于干涉原理的光谱分析仪器，能够通过测量物质对红外光的吸收特性来分析其分子结构和化学成分。可实现对固体、液体、粉末状、粘稠状等样品的无损快速定性分析，识别各类未知物与标准化合物是否符合，完成定性与定量工作。整套系统采用自动化控制平台和国产自研关键部件，具备高分辨率、高通量和高稳定性的特点，适用于多种复杂工况下的在线检测需求。本仪器采用的高分辨率干涉仪和高通量分束器，能够显著提升光谱的精度和信噪比，尤其适用于微量样品或弱吸收信号的检测。此外，本设备可匹配各类原位附件如高温、低温、高压反应池等，实现对样品在不同环境条件下的实时在线监测。例如在催化反应过程中，可以通过原位附件实时监测反应物的转化和产物的生成，为化学反应机理研究和工艺优化提供重要数据支持。</w:t>
      </w:r>
    </w:p>
    <w:p w14:paraId="41C290FB">
      <w:pPr>
        <w:spacing w:line="360" w:lineRule="auto"/>
        <w:ind w:firstLine="480" w:firstLineChars="200"/>
        <w:rPr>
          <w:rFonts w:hint="eastAsia" w:ascii="宋体" w:hAnsi="宋体" w:eastAsia="宋体" w:cs="宋体"/>
          <w:sz w:val="24"/>
        </w:rPr>
      </w:pPr>
    </w:p>
    <w:p w14:paraId="21397684">
      <w:pPr>
        <w:spacing w:line="360" w:lineRule="auto"/>
        <w:ind w:firstLine="480" w:firstLineChars="200"/>
        <w:rPr>
          <w:rFonts w:hint="eastAsia" w:ascii="宋体" w:hAnsi="宋体" w:eastAsia="宋体" w:cs="宋体"/>
          <w:sz w:val="24"/>
        </w:rPr>
      </w:pPr>
      <w:r>
        <w:rPr>
          <w:rFonts w:ascii="宋体" w:hAnsi="宋体" w:eastAsia="宋体" w:cs="宋体"/>
          <w:sz w:val="24"/>
        </w:rPr>
        <w:t>该原位表征系统包含红外光谱仪一套、自动化控制系统一套和原位测试装置。具体技术参数要求如下：</w:t>
      </w:r>
    </w:p>
    <w:p w14:paraId="34846FAF">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1.</w:t>
      </w:r>
      <w:r>
        <w:rPr>
          <w:rFonts w:ascii="Times New Roman" w:hAnsi="Times New Roman" w:eastAsia="宋体" w:cs="Times New Roman"/>
          <w:sz w:val="24"/>
        </w:rPr>
        <w:t>系统配置双通道模数转换器及32位动态范围，非24位动态范围。</w:t>
      </w:r>
    </w:p>
    <w:p w14:paraId="57BD5C39">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2.</w:t>
      </w:r>
      <w:r>
        <w:rPr>
          <w:rFonts w:ascii="Times New Roman" w:hAnsi="Times New Roman" w:eastAsia="宋体" w:cs="Times New Roman"/>
          <w:sz w:val="24"/>
        </w:rPr>
        <w:t>光谱范围：8,000-350 cm⁻¹（可扩展12,500-4,000 cm⁻¹）。</w:t>
      </w:r>
    </w:p>
    <w:p w14:paraId="1687D3C5">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3.</w:t>
      </w:r>
      <w:r>
        <w:rPr>
          <w:rFonts w:ascii="Times New Roman" w:hAnsi="Times New Roman" w:eastAsia="宋体" w:cs="Times New Roman"/>
          <w:sz w:val="24"/>
        </w:rPr>
        <w:t>信噪比：优于40,000:1（1分钟测试，4 cm⁻¹）。</w:t>
      </w:r>
    </w:p>
    <w:p w14:paraId="73D3F6F8">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4.</w:t>
      </w:r>
      <w:r>
        <w:rPr>
          <w:rFonts w:ascii="Times New Roman" w:hAnsi="Times New Roman" w:eastAsia="宋体" w:cs="Times New Roman"/>
          <w:sz w:val="24"/>
        </w:rPr>
        <w:t>波数精度：优于0.01 cm⁻¹。</w:t>
      </w:r>
    </w:p>
    <w:p w14:paraId="25B67019">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5.</w:t>
      </w:r>
      <w:r>
        <w:rPr>
          <w:rFonts w:ascii="Times New Roman" w:hAnsi="Times New Roman" w:eastAsia="宋体" w:cs="Times New Roman"/>
          <w:sz w:val="24"/>
        </w:rPr>
        <w:t>光谱分辨率：优于0.4 cm⁻¹（可升级0.25 cm⁻¹）。</w:t>
      </w:r>
    </w:p>
    <w:p w14:paraId="62F7270D">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6.</w:t>
      </w:r>
      <w:r>
        <w:rPr>
          <w:rFonts w:ascii="Times New Roman" w:hAnsi="Times New Roman" w:eastAsia="宋体" w:cs="Times New Roman"/>
          <w:sz w:val="24"/>
        </w:rPr>
        <w:t>干涉仪：立体角镜干涉仪，准直。</w:t>
      </w:r>
    </w:p>
    <w:p w14:paraId="3EA211DD">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7.</w:t>
      </w:r>
      <w:r>
        <w:rPr>
          <w:rFonts w:ascii="Times New Roman" w:hAnsi="Times New Roman" w:eastAsia="宋体" w:cs="Times New Roman"/>
          <w:sz w:val="24"/>
        </w:rPr>
        <w:t>红外光源：中红外陶瓷光源，1550 K。可选配近红外钨灯光源，自动切换。</w:t>
      </w:r>
    </w:p>
    <w:p w14:paraId="6A941397">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8.</w:t>
      </w:r>
      <w:r>
        <w:rPr>
          <w:rFonts w:ascii="Times New Roman" w:hAnsi="Times New Roman" w:eastAsia="宋体" w:cs="Times New Roman"/>
          <w:sz w:val="24"/>
        </w:rPr>
        <w:t>分束器：国产中红外专用分束器及窗片。</w:t>
      </w:r>
    </w:p>
    <w:p w14:paraId="4DC06C8F">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9.</w:t>
      </w:r>
      <w:r>
        <w:rPr>
          <w:rFonts w:ascii="Times New Roman" w:hAnsi="Times New Roman" w:eastAsia="宋体" w:cs="Times New Roman"/>
          <w:sz w:val="24"/>
        </w:rPr>
        <w:t>检测器：主机配置DLaTGS检测器和液氮冷却MCT检测器，自动切换位置，内置ADC。可选配半导体制冷MCT检测器、液氮制冷锑化铟检测器、半导体制冷铟镓砷检测器，两个检测器可相互切换。</w:t>
      </w:r>
    </w:p>
    <w:p w14:paraId="6A118895">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10.</w:t>
      </w:r>
      <w:r>
        <w:rPr>
          <w:rFonts w:ascii="Times New Roman" w:hAnsi="Times New Roman" w:eastAsia="宋体" w:cs="Times New Roman"/>
          <w:sz w:val="24"/>
        </w:rPr>
        <w:t>仪器密闭系统：仪器采用密封设计，配备可再生的旋拧式干燥管。</w:t>
      </w:r>
    </w:p>
    <w:p w14:paraId="3DB1A5C7">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11.</w:t>
      </w:r>
      <w:r>
        <w:rPr>
          <w:rFonts w:ascii="Times New Roman" w:hAnsi="Times New Roman" w:eastAsia="宋体" w:cs="Times New Roman"/>
          <w:sz w:val="24"/>
        </w:rPr>
        <w:t>系统配备自动化控制系统，实现红外光谱与原位反应同步测试及采谱、分析功能。光谱仪控制软件与原位测试装置集成，同一界面操作，实现原位数据采集。需提供原位测试自动化控制系统三张运行界面截图证明材料。</w:t>
      </w:r>
    </w:p>
    <w:p w14:paraId="23E40E6A">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color w:val="FF0000"/>
          <w:kern w:val="2"/>
          <w:sz w:val="24"/>
          <w:szCs w:val="22"/>
          <w:lang w:val="en-US" w:eastAsia="zh-CN" w:bidi="ar-SA"/>
        </w:rPr>
        <w:t>12.</w:t>
      </w:r>
      <w:r>
        <w:rPr>
          <w:rFonts w:ascii="Times New Roman" w:hAnsi="Times New Roman" w:eastAsia="宋体" w:cs="Times New Roman"/>
          <w:sz w:val="24"/>
        </w:rPr>
        <w:t>原位表征系统软件：基于C++的软件系统，用于运转和测试，支持与外部设备二次开发，可与其它原位测试装置系统集成。</w:t>
      </w:r>
      <w:bookmarkStart w:id="0" w:name="_GoBack"/>
      <w:bookmarkEnd w:id="0"/>
    </w:p>
    <w:p w14:paraId="6331A17A">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13.</w:t>
      </w:r>
      <w:r>
        <w:rPr>
          <w:rFonts w:ascii="Times New Roman" w:hAnsi="Times New Roman" w:eastAsia="宋体" w:cs="Times New Roman"/>
          <w:sz w:val="24"/>
        </w:rPr>
        <w:t>系统集成化：系统实现自动化控制系统、红外光谱、原位测试装置集成化，实现原位测试控制与管理，支持远程操作。需提供远程操作三张运行界面截图证明材料。</w:t>
      </w:r>
    </w:p>
    <w:p w14:paraId="020CAB87">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14.</w:t>
      </w:r>
      <w:r>
        <w:rPr>
          <w:rFonts w:ascii="Times New Roman" w:hAnsi="Times New Roman" w:eastAsia="宋体" w:cs="Times New Roman"/>
          <w:sz w:val="24"/>
        </w:rPr>
        <w:t>软件功能：实时光谱采集、数据处理、图谱分析，支持软件二次开发功能。</w:t>
      </w:r>
    </w:p>
    <w:p w14:paraId="3B1D043A">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15.</w:t>
      </w:r>
      <w:r>
        <w:rPr>
          <w:rFonts w:ascii="Times New Roman" w:hAnsi="Times New Roman" w:eastAsia="宋体" w:cs="Times New Roman"/>
          <w:sz w:val="24"/>
        </w:rPr>
        <w:t>系统联用功能：系统在同一软件界面耦合XRD衍射仪进行偶联原位表征测试，实现同步数据采集，样品无需物理移动。需提供多模态偶联XRD衍射原位测试软件控制系统三张运行界面截图证明材料。</w:t>
      </w:r>
    </w:p>
    <w:p w14:paraId="63380906">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16.</w:t>
      </w:r>
      <w:r>
        <w:rPr>
          <w:rFonts w:ascii="Times New Roman" w:hAnsi="Times New Roman" w:eastAsia="宋体" w:cs="Times New Roman"/>
          <w:sz w:val="24"/>
        </w:rPr>
        <w:t>系统可配备一体化锂离子电池原位充放电测试系统，包括电池测试仪、原位池、控制系统，实现电池充放电过程中原位红外光谱数据采集。需提供三张原位电池测试自动化数据采集截图证明材料。</w:t>
      </w:r>
    </w:p>
    <w:p w14:paraId="77BF27DB">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17.</w:t>
      </w:r>
      <w:r>
        <w:rPr>
          <w:rFonts w:ascii="Times New Roman" w:hAnsi="Times New Roman" w:eastAsia="宋体" w:cs="Times New Roman"/>
          <w:sz w:val="24"/>
        </w:rPr>
        <w:t>系统可配备电学/电化学原位测试系统，包括电化学工作站、原位池、四探针系统，实现电学/电化学催化过程中催化剂的原位红外光谱数据采集。需提供三张电化学原位测试自动化数据采集截图证明材料。</w:t>
      </w:r>
    </w:p>
    <w:p w14:paraId="7B690659">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18.</w:t>
      </w:r>
      <w:r>
        <w:rPr>
          <w:rFonts w:ascii="Times New Roman" w:hAnsi="Times New Roman" w:eastAsia="宋体" w:cs="Times New Roman"/>
          <w:sz w:val="24"/>
        </w:rPr>
        <w:t>系统可配备高温催化原位测试系统，包括温度控制箱、原位池、气体控制箱以及程序控制，软件一体化控制，实现在不同高温环境中催化剂或其他高温材料的原位红外光谱数据采集。需提供三张高温催化原位测试自动化数据采集截图证明材料。</w:t>
      </w:r>
    </w:p>
    <w:p w14:paraId="07258609">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19.</w:t>
      </w:r>
      <w:r>
        <w:rPr>
          <w:rFonts w:ascii="Times New Roman" w:hAnsi="Times New Roman" w:eastAsia="宋体" w:cs="Times New Roman"/>
          <w:sz w:val="24"/>
        </w:rPr>
        <w:t>数据接口：红外主机与计算机之间通过网线连接。</w:t>
      </w:r>
    </w:p>
    <w:p w14:paraId="4593CAEE">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20.</w:t>
      </w:r>
      <w:r>
        <w:rPr>
          <w:rFonts w:ascii="Times New Roman" w:hAnsi="Times New Roman" w:eastAsia="宋体" w:cs="Times New Roman"/>
          <w:sz w:val="24"/>
        </w:rPr>
        <w:t>配置原位红外锂离子电池装置一套，具体技术参数要求如下：</w:t>
      </w:r>
      <w:r>
        <w:rPr>
          <w:rFonts w:ascii="Times New Roman" w:hAnsi="Times New Roman" w:eastAsia="宋体" w:cs="Times New Roman"/>
          <w:sz w:val="24"/>
        </w:rPr>
        <w:br w:type="textWrapping"/>
      </w:r>
      <w:r>
        <w:rPr>
          <w:rFonts w:ascii="Times New Roman" w:hAnsi="Times New Roman" w:eastAsia="宋体" w:cs="Times New Roman"/>
          <w:sz w:val="24"/>
        </w:rPr>
        <w:t>(1) 该装置配合ATR光路系统使用。</w:t>
      </w:r>
      <w:r>
        <w:rPr>
          <w:rFonts w:ascii="Times New Roman" w:hAnsi="Times New Roman" w:eastAsia="宋体" w:cs="Times New Roman"/>
          <w:sz w:val="24"/>
        </w:rPr>
        <w:br w:type="textWrapping"/>
      </w:r>
      <w:r>
        <w:rPr>
          <w:rFonts w:ascii="Times New Roman" w:hAnsi="Times New Roman" w:eastAsia="宋体" w:cs="Times New Roman"/>
          <w:sz w:val="24"/>
        </w:rPr>
        <w:t>(2) 该装置适用于二次电池红外光谱测试。</w:t>
      </w:r>
      <w:r>
        <w:rPr>
          <w:rFonts w:ascii="Times New Roman" w:hAnsi="Times New Roman" w:eastAsia="宋体" w:cs="Times New Roman"/>
          <w:sz w:val="24"/>
        </w:rPr>
        <w:br w:type="textWrapping"/>
      </w:r>
      <w:r>
        <w:rPr>
          <w:rFonts w:ascii="Times New Roman" w:hAnsi="Times New Roman" w:eastAsia="宋体" w:cs="Times New Roman"/>
          <w:sz w:val="24"/>
        </w:rPr>
        <w:t>(3) 装置针对锂离子二次电池设计，适用于锂离子电池正常应用。</w:t>
      </w:r>
      <w:r>
        <w:rPr>
          <w:rFonts w:ascii="Times New Roman" w:hAnsi="Times New Roman" w:eastAsia="宋体" w:cs="Times New Roman"/>
          <w:sz w:val="24"/>
        </w:rPr>
        <w:br w:type="textWrapping"/>
      </w:r>
      <w:r>
        <w:rPr>
          <w:rFonts w:ascii="Times New Roman" w:hAnsi="Times New Roman" w:eastAsia="宋体" w:cs="Times New Roman"/>
          <w:sz w:val="24"/>
        </w:rPr>
        <w:t>(4) 装置装样、拆卸方便，电池组件可清洁。</w:t>
      </w:r>
      <w:r>
        <w:rPr>
          <w:rFonts w:ascii="Times New Roman" w:hAnsi="Times New Roman" w:eastAsia="宋体" w:cs="Times New Roman"/>
          <w:sz w:val="24"/>
        </w:rPr>
        <w:br w:type="textWrapping"/>
      </w:r>
      <w:r>
        <w:rPr>
          <w:rFonts w:ascii="Times New Roman" w:hAnsi="Times New Roman" w:eastAsia="宋体" w:cs="Times New Roman"/>
          <w:sz w:val="24"/>
        </w:rPr>
        <w:t>(5) 电池外壳材质具备抗腐蚀性和强度，O型圈密封，体系整体密封。</w:t>
      </w:r>
      <w:r>
        <w:rPr>
          <w:rFonts w:ascii="Times New Roman" w:hAnsi="Times New Roman" w:eastAsia="宋体" w:cs="Times New Roman"/>
          <w:sz w:val="24"/>
        </w:rPr>
        <w:br w:type="textWrapping"/>
      </w:r>
      <w:r>
        <w:rPr>
          <w:rFonts w:ascii="Times New Roman" w:hAnsi="Times New Roman" w:eastAsia="宋体" w:cs="Times New Roman"/>
          <w:sz w:val="24"/>
        </w:rPr>
        <w:t>(6) 装置正常充放电过程中在线采集红外光谱数据（匹配衰减全反射光路）。</w:t>
      </w:r>
      <w:r>
        <w:rPr>
          <w:rFonts w:ascii="Times New Roman" w:hAnsi="Times New Roman" w:eastAsia="宋体" w:cs="Times New Roman"/>
          <w:sz w:val="24"/>
        </w:rPr>
        <w:br w:type="textWrapping"/>
      </w:r>
      <w:r>
        <w:rPr>
          <w:rFonts w:ascii="Times New Roman" w:hAnsi="Times New Roman" w:eastAsia="宋体" w:cs="Times New Roman"/>
          <w:sz w:val="24"/>
        </w:rPr>
        <w:t>(7) 电池装置可重复使用。</w:t>
      </w:r>
    </w:p>
    <w:p w14:paraId="51DCE720">
      <w:pPr>
        <w:numPr>
          <w:ilvl w:val="0"/>
          <w:numId w:val="0"/>
        </w:numPr>
        <w:spacing w:line="360" w:lineRule="auto"/>
        <w:ind w:left="0" w:leftChars="0" w:firstLine="480" w:firstLineChars="200"/>
        <w:rPr>
          <w:rFonts w:ascii="Times New Roman" w:hAnsi="Times New Roman" w:eastAsia="宋体" w:cs="Times New Roman"/>
          <w:sz w:val="24"/>
        </w:rPr>
      </w:pPr>
      <w:r>
        <w:rPr>
          <w:rFonts w:ascii="Times New Roman" w:hAnsi="Times New Roman" w:eastAsia="宋体" w:cs="Times New Roman"/>
          <w:kern w:val="2"/>
          <w:sz w:val="24"/>
          <w:szCs w:val="22"/>
          <w:lang w:val="en-US" w:eastAsia="zh-CN" w:bidi="ar-SA"/>
        </w:rPr>
        <w:t>21.</w:t>
      </w:r>
      <w:r>
        <w:rPr>
          <w:rFonts w:ascii="Times New Roman" w:hAnsi="Times New Roman" w:eastAsia="宋体" w:cs="Times New Roman"/>
          <w:sz w:val="24"/>
        </w:rPr>
        <w:t>配置红外ATR光路附件一套，具体技术参数要求如下：</w:t>
      </w:r>
      <w:r>
        <w:rPr>
          <w:rFonts w:ascii="Times New Roman" w:hAnsi="Times New Roman" w:eastAsia="宋体" w:cs="Times New Roman"/>
          <w:sz w:val="24"/>
        </w:rPr>
        <w:br w:type="textWrapping"/>
      </w:r>
      <w:r>
        <w:rPr>
          <w:rFonts w:ascii="Times New Roman" w:hAnsi="Times New Roman" w:eastAsia="宋体" w:cs="Times New Roman"/>
          <w:sz w:val="24"/>
        </w:rPr>
        <w:t>(1) 红外ATR光路附件为适用于透射红外光谱仪的可变角度镜面反射附件，光学部件采用镀金膜处理，透光效率≥50%，配备可选单反射ATR晶体（硅或锗单晶）。晶体可拆卸更换，支持自行镀膜。匹配电池原位池、电化学原位池，实现电催化、光电催化、电池等反应的在线红外数据采集。</w:t>
      </w:r>
      <w:r>
        <w:rPr>
          <w:rFonts w:ascii="Times New Roman" w:hAnsi="Times New Roman" w:eastAsia="宋体" w:cs="Times New Roman"/>
          <w:sz w:val="24"/>
        </w:rPr>
        <w:br w:type="textWrapping"/>
      </w:r>
      <w:r>
        <w:rPr>
          <w:rFonts w:ascii="Times New Roman" w:hAnsi="Times New Roman" w:eastAsia="宋体" w:cs="Times New Roman"/>
          <w:sz w:val="24"/>
        </w:rPr>
        <w:t>(2) 装置底部手调旋钮可调节反射镜高度，进而调节样品处入射角，入射角调节范围35~75°。</w:t>
      </w:r>
      <w:r>
        <w:rPr>
          <w:rFonts w:ascii="Times New Roman" w:hAnsi="Times New Roman" w:eastAsia="宋体" w:cs="Times New Roman"/>
          <w:sz w:val="24"/>
        </w:rPr>
        <w:br w:type="textWrapping"/>
      </w:r>
      <w:r>
        <w:rPr>
          <w:rFonts w:ascii="Times New Roman" w:hAnsi="Times New Roman" w:eastAsia="宋体" w:cs="Times New Roman"/>
          <w:sz w:val="24"/>
        </w:rPr>
        <w:t>(3) 装置上盖材质可选：铝或PEEK等。</w:t>
      </w:r>
      <w:r>
        <w:rPr>
          <w:rFonts w:ascii="Times New Roman" w:hAnsi="Times New Roman" w:eastAsia="宋体" w:cs="Times New Roman"/>
          <w:sz w:val="24"/>
        </w:rPr>
        <w:br w:type="textWrapping"/>
      </w:r>
      <w:r>
        <w:rPr>
          <w:rFonts w:ascii="Times New Roman" w:hAnsi="Times New Roman" w:eastAsia="宋体" w:cs="Times New Roman"/>
          <w:sz w:val="24"/>
        </w:rPr>
        <w:t>(4) 装置可选配硅或锗单晶体，晶体可拆卸更换，支持自行镀膜。</w:t>
      </w:r>
      <w:r>
        <w:rPr>
          <w:rFonts w:ascii="Times New Roman" w:hAnsi="Times New Roman" w:eastAsia="宋体" w:cs="Times New Roman"/>
          <w:sz w:val="24"/>
        </w:rPr>
        <w:br w:type="textWrapping"/>
      </w:r>
      <w:r>
        <w:rPr>
          <w:rFonts w:ascii="Times New Roman" w:hAnsi="Times New Roman" w:eastAsia="宋体" w:cs="Times New Roman"/>
          <w:sz w:val="24"/>
        </w:rPr>
        <w:t>(5) 装置底座可更换，以适配不同的红外光谱仪。</w:t>
      </w:r>
    </w:p>
    <w:sectPr>
      <w:footerReference r:id="rId3" w:type="default"/>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BA937">
    <w:pPr>
      <w:pStyle w:val="5"/>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69AC29">
                          <w:pPr>
                            <w:pStyle w:val="5"/>
                            <w:rPr>
                              <w:rFonts w:hint="eastAsia"/>
                            </w:rP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7A69AC29">
                    <w:pPr>
                      <w:pStyle w:val="5"/>
                      <w:rPr>
                        <w:rFonts w:hint="eastAsia"/>
                      </w:rP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F8A"/>
    <w:rsid w:val="000511F2"/>
    <w:rsid w:val="000B6D44"/>
    <w:rsid w:val="000D4454"/>
    <w:rsid w:val="00172F52"/>
    <w:rsid w:val="001A313B"/>
    <w:rsid w:val="00210201"/>
    <w:rsid w:val="002A2778"/>
    <w:rsid w:val="002A7291"/>
    <w:rsid w:val="00354A55"/>
    <w:rsid w:val="00370CAD"/>
    <w:rsid w:val="003D18BF"/>
    <w:rsid w:val="00413937"/>
    <w:rsid w:val="004B2658"/>
    <w:rsid w:val="004D6759"/>
    <w:rsid w:val="00584613"/>
    <w:rsid w:val="005C78B1"/>
    <w:rsid w:val="005D5646"/>
    <w:rsid w:val="005D7554"/>
    <w:rsid w:val="006C28BE"/>
    <w:rsid w:val="0081250B"/>
    <w:rsid w:val="00865E5B"/>
    <w:rsid w:val="009106A5"/>
    <w:rsid w:val="009E17CF"/>
    <w:rsid w:val="00A25D5C"/>
    <w:rsid w:val="00A6027B"/>
    <w:rsid w:val="00A85F8A"/>
    <w:rsid w:val="00AD5E8A"/>
    <w:rsid w:val="00CC3329"/>
    <w:rsid w:val="00CD7CD2"/>
    <w:rsid w:val="00CE213E"/>
    <w:rsid w:val="00D82D0F"/>
    <w:rsid w:val="00E021CE"/>
    <w:rsid w:val="00E971B9"/>
    <w:rsid w:val="00FB02B1"/>
    <w:rsid w:val="00FC3A09"/>
    <w:rsid w:val="00FE169A"/>
    <w:rsid w:val="00FF7A01"/>
    <w:rsid w:val="01091FA9"/>
    <w:rsid w:val="052B2F21"/>
    <w:rsid w:val="07AD52F3"/>
    <w:rsid w:val="08CE609D"/>
    <w:rsid w:val="136E3B5B"/>
    <w:rsid w:val="14EF3F6B"/>
    <w:rsid w:val="16EE5B59"/>
    <w:rsid w:val="1B57312E"/>
    <w:rsid w:val="1CF421BA"/>
    <w:rsid w:val="1E427875"/>
    <w:rsid w:val="2624159B"/>
    <w:rsid w:val="28CC2F94"/>
    <w:rsid w:val="2B724B56"/>
    <w:rsid w:val="30085A89"/>
    <w:rsid w:val="36DE48CE"/>
    <w:rsid w:val="43A37B4B"/>
    <w:rsid w:val="4DCB2178"/>
    <w:rsid w:val="59350DEE"/>
    <w:rsid w:val="5A151FE3"/>
    <w:rsid w:val="5B525C87"/>
    <w:rsid w:val="5F132BEC"/>
    <w:rsid w:val="619F774C"/>
    <w:rsid w:val="626C5880"/>
    <w:rsid w:val="662B7800"/>
    <w:rsid w:val="694E2184"/>
    <w:rsid w:val="70237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3"/>
    <w:semiHidden/>
    <w:unhideWhenUsed/>
    <w:qFormat/>
    <w:uiPriority w:val="99"/>
    <w:pPr>
      <w:jc w:val="left"/>
    </w:pPr>
  </w:style>
  <w:style w:type="paragraph" w:styleId="4">
    <w:name w:val="Balloon Text"/>
    <w:basedOn w:val="1"/>
    <w:link w:val="15"/>
    <w:semiHidden/>
    <w:unhideWhenUsed/>
    <w:qFormat/>
    <w:uiPriority w:val="99"/>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4"/>
    <w:semiHidden/>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character" w:customStyle="1" w:styleId="12">
    <w:name w:val="页眉 字符"/>
    <w:basedOn w:val="10"/>
    <w:link w:val="6"/>
    <w:uiPriority w:val="99"/>
    <w:rPr>
      <w:kern w:val="2"/>
      <w:sz w:val="18"/>
      <w:szCs w:val="18"/>
    </w:rPr>
  </w:style>
  <w:style w:type="character" w:customStyle="1" w:styleId="13">
    <w:name w:val="批注文字 字符"/>
    <w:basedOn w:val="10"/>
    <w:link w:val="3"/>
    <w:semiHidden/>
    <w:uiPriority w:val="99"/>
    <w:rPr>
      <w:kern w:val="2"/>
      <w:sz w:val="21"/>
      <w:szCs w:val="22"/>
    </w:rPr>
  </w:style>
  <w:style w:type="character" w:customStyle="1" w:styleId="14">
    <w:name w:val="批注主题 字符"/>
    <w:basedOn w:val="13"/>
    <w:link w:val="7"/>
    <w:semiHidden/>
    <w:qFormat/>
    <w:uiPriority w:val="99"/>
    <w:rPr>
      <w:b/>
      <w:bCs/>
      <w:kern w:val="2"/>
      <w:sz w:val="21"/>
      <w:szCs w:val="22"/>
    </w:rPr>
  </w:style>
  <w:style w:type="character" w:customStyle="1" w:styleId="15">
    <w:name w:val="批注框文本 字符"/>
    <w:basedOn w:val="10"/>
    <w:link w:val="4"/>
    <w:semiHidden/>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1729</Words>
  <Characters>1846</Characters>
  <Lines>35</Lines>
  <Paragraphs>23</Paragraphs>
  <TotalTime>614</TotalTime>
  <ScaleCrop>false</ScaleCrop>
  <LinksUpToDate>false</LinksUpToDate>
  <CharactersWithSpaces>1865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2023-09-05T05:41:00Z</dcterms:created>
  <dc:creator>Koen Wang（王坤）</dc:creator>
  <cp:lastModifiedBy>张帅磊</cp:lastModifiedBy>
  <dcterms:modified xsi:type="dcterms:W3CDTF">2026-06-02T07:49:50Z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334E29B81F0E4CA294F1693D070EA79B_12</vt:lpwstr>
  </property>
</Properties>
</file>