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91959B">
      <w:pPr>
        <w:adjustRightInd w:val="0"/>
        <w:snapToGrid w:val="0"/>
        <w:spacing w:line="640" w:lineRule="exact"/>
        <w:jc w:val="center"/>
        <w:rPr>
          <w:rFonts w:ascii="方正小标宋简体" w:hAnsi="方正小标宋简体" w:eastAsia="方正小标宋简体" w:cs="方正小标宋简体"/>
          <w:sz w:val="44"/>
          <w:szCs w:val="44"/>
          <w:lang w:val="zh-CN"/>
        </w:rPr>
      </w:pPr>
      <w:r>
        <w:rPr>
          <w:rFonts w:hint="eastAsia" w:ascii="方正小标宋简体" w:hAnsi="方正小标宋简体" w:eastAsia="方正小标宋简体" w:cs="方正小标宋简体"/>
          <w:sz w:val="44"/>
          <w:szCs w:val="44"/>
          <w:lang w:val="zh-CN"/>
        </w:rPr>
        <w:t>商务要求</w:t>
      </w:r>
    </w:p>
    <w:p w14:paraId="52250D6F">
      <w:pPr>
        <w:pStyle w:val="20"/>
      </w:pPr>
    </w:p>
    <w:p w14:paraId="72814904">
      <w:pPr>
        <w:pStyle w:val="37"/>
        <w:kinsoku w:val="0"/>
        <w:overflowPunct w:val="0"/>
        <w:autoSpaceDE w:val="0"/>
        <w:autoSpaceDN w:val="0"/>
        <w:spacing w:line="288" w:lineRule="auto"/>
        <w:outlineLvl w:val="0"/>
        <w:rPr>
          <w:rFonts w:ascii="黑体" w:hAnsi="黑体" w:eastAsia="黑体" w:cs="黑体"/>
          <w:bCs/>
          <w:szCs w:val="21"/>
          <w:lang w:val="zh-CN"/>
        </w:rPr>
      </w:pPr>
      <w:r>
        <w:rPr>
          <w:rFonts w:hint="eastAsia" w:ascii="黑体" w:hAnsi="黑体" w:eastAsia="黑体" w:cs="黑体"/>
          <w:bCs/>
          <w:szCs w:val="21"/>
        </w:rPr>
        <w:t>一、</w:t>
      </w:r>
      <w:r>
        <w:rPr>
          <w:rFonts w:hint="eastAsia" w:ascii="黑体" w:hAnsi="黑体" w:eastAsia="黑体" w:cs="黑体"/>
          <w:bCs/>
          <w:szCs w:val="21"/>
          <w:lang w:val="zh-CN"/>
        </w:rPr>
        <w:t>技术服务</w:t>
      </w:r>
    </w:p>
    <w:p w14:paraId="64DB1BA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1.设备安装、调试和验收（在合同签订后执行）</w:t>
      </w:r>
    </w:p>
    <w:p w14:paraId="44C0E9F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w:t>
      </w:r>
      <w:r>
        <w:rPr>
          <w:rFonts w:ascii="方正仿宋_GB2312" w:hAnsi="方正仿宋_GB2312" w:eastAsia="方正仿宋_GB2312" w:cs="方正仿宋_GB2312"/>
          <w:szCs w:val="21"/>
        </w:rPr>
        <w:t>中标人应在合同签订后向采购人提供详细的安装要求及安装计划，并提供技术咨询，2个月内交货并完成安装及调试</w:t>
      </w:r>
      <w:r>
        <w:rPr>
          <w:rFonts w:hint="eastAsia" w:ascii="方正仿宋_GB2312" w:hAnsi="方正仿宋_GB2312" w:eastAsia="方正仿宋_GB2312" w:cs="方正仿宋_GB2312"/>
          <w:szCs w:val="21"/>
        </w:rPr>
        <w:t>。设备安装、调试的费用由中标人承担。</w:t>
      </w:r>
    </w:p>
    <w:p w14:paraId="37DBFB0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0D39F6A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1.3如果由于仪器本身原因而在3个月内调试没有通过，可返厂维修，或更换一套全新的相同型号配置仪器。</w:t>
      </w:r>
    </w:p>
    <w:p w14:paraId="03B8974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1.4返厂维修周期不得超过3个月，次数不得超过2次，否则必须更换一套全新的相同型号配置或符合技术性能要求的仪器设备。采购人认定的特殊仪器设备可延长调试时间。</w:t>
      </w:r>
    </w:p>
    <w:p w14:paraId="5B9119A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2.技术培训</w:t>
      </w:r>
    </w:p>
    <w:p w14:paraId="6891C36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2.1设备安装调试完成后，中标人应对采购人用户技术人员进行调试、操作、仪器维护、故障排除等方面的现场培训。培训相关费用由中标人承担。</w:t>
      </w:r>
    </w:p>
    <w:p w14:paraId="3B01446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2.2初级培训：仪器安装调试完，验收前，中标人工程师在现场就仪器的维护、基本操作、日常保养、潜在故障分析等各方面提供2人以上初步培训，培训周期不少于5天。</w:t>
      </w:r>
    </w:p>
    <w:p w14:paraId="3AAA911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2.3应用培训：在初级培训结束后，待采购人使用一段时间，中标人派遣专门的应用工程师到客户现场进行高级应用培训。2人以上培训时间不少于5天，具体培训内容与日期由双方协商确定。</w:t>
      </w:r>
    </w:p>
    <w:p w14:paraId="3C8CFF7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3.质保期</w:t>
      </w:r>
    </w:p>
    <w:p w14:paraId="083239F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3.1提供不少于三年的整机质保，质保期从采购人组织验收且验收合格之日起计算。质保范围包括仪器所有硬件、维护包包含的全套附件等；质保期内，提供所需耗材和用品，同时如果任何零配件损坏，中标人需更换和安装一个设备原厂的相关配件；对于同一部位出现2次以上故障，中标人应当更换该部件。质保期间维修及零件更换费用、人工及差旅费等费用全部由中标人负担（人为损坏除外）。</w:t>
      </w:r>
    </w:p>
    <w:p w14:paraId="09E6DDF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3.2在质保期内，如货品非因采购人的人为原因而出现的问题由中标人负责保修，并承担修理的实际费用。在质保期内，如设备或零部件因非人为因素出现故障而造成短期停用的，经双方确认后，质保期相应顺延，顺延期限由双方协商确定。</w:t>
      </w:r>
    </w:p>
    <w:p w14:paraId="78DD7A9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4.中标人提供终身维修服务</w:t>
      </w:r>
    </w:p>
    <w:p w14:paraId="63B5898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4.1保证不低于十五年的零配件供应。若制造商厂家决定停止生产某种备品备件，中标人应提前6个月通知采购人，以便采购人购买足够的备品备件。在质保期内，厂商技术工程师每年进行至少两次现场检修，以保证采购人设备的正常运行。</w:t>
      </w:r>
    </w:p>
    <w:p w14:paraId="4669548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4.2过质保期后配件、耗材按不高于市场价的7折提供。</w:t>
      </w:r>
    </w:p>
    <w:p w14:paraId="51DBEAF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5.维修响应时间</w:t>
      </w:r>
    </w:p>
    <w:p w14:paraId="7CD233E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质保期将相应顺延。</w:t>
      </w:r>
    </w:p>
    <w:p w14:paraId="271F6418">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6</w:t>
      </w:r>
      <w:r>
        <w:rPr>
          <w:rFonts w:hint="eastAsia" w:ascii="方正仿宋_GB2312" w:hAnsi="方正仿宋_GB2312" w:eastAsia="方正仿宋_GB2312" w:cs="方正仿宋_GB2312"/>
          <w:szCs w:val="21"/>
        </w:rPr>
        <w:t>.软件升级</w:t>
      </w:r>
    </w:p>
    <w:p w14:paraId="7A4FA164">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6</w:t>
      </w:r>
      <w:r>
        <w:rPr>
          <w:rFonts w:hint="eastAsia" w:ascii="方正仿宋_GB2312" w:hAnsi="方正仿宋_GB2312" w:eastAsia="方正仿宋_GB2312" w:cs="方正仿宋_GB2312"/>
          <w:szCs w:val="21"/>
        </w:rPr>
        <w:t>.1在硬件支持的前提下，终身为采购人用户提供软件升级服务。</w:t>
      </w:r>
    </w:p>
    <w:p w14:paraId="5BEF6DC4">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7</w:t>
      </w:r>
      <w:r>
        <w:rPr>
          <w:rFonts w:hint="eastAsia" w:ascii="方正仿宋_GB2312" w:hAnsi="方正仿宋_GB2312" w:eastAsia="方正仿宋_GB2312" w:cs="方正仿宋_GB2312"/>
          <w:szCs w:val="21"/>
        </w:rPr>
        <w:t>.提供设备装配总图、部件装配图、中文操作使用手册、中文维护手册、相关的软件备份、电气原理图、接线图等全套图纸资料随机一同交付，提供完整的产品出厂验收说明书。</w:t>
      </w:r>
    </w:p>
    <w:p w14:paraId="0B52DC89">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.验收</w:t>
      </w:r>
    </w:p>
    <w:p w14:paraId="04E32F91">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.1 收货检验：采购人或采购人指定的收货人在交货地对中标人提交的合同产品进行检验。如果中标人提交的合同产品与合同约定不符，则采购人有权要求中标人更换或退货，中标人应按照采购人的要求进行更换或退换并承担由此而产生的一切费用。</w:t>
      </w:r>
    </w:p>
    <w:p w14:paraId="1AA47F35">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33B0CA34">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.3 验收期限：仪器安装、调试、培训完毕后正常试运行1个月，之后组织预验收（档案验收+技术指标验收）和现场综合验收。中标人应派相关人员参加并协助采购人进行验收，验收流程与方法按采购人的规定执行。</w:t>
      </w:r>
    </w:p>
    <w:p w14:paraId="2049FE57">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.4 在采购人对主机、附件、软件的性能和功能进行测试合格基础上，由采购人授权人签字验收。</w:t>
      </w:r>
    </w:p>
    <w:p w14:paraId="51AF1417">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9</w:t>
      </w:r>
      <w:r>
        <w:rPr>
          <w:rFonts w:hint="eastAsia" w:ascii="方正仿宋_GB2312" w:hAnsi="方正仿宋_GB2312" w:eastAsia="方正仿宋_GB2312" w:cs="方正仿宋_GB2312"/>
          <w:szCs w:val="21"/>
        </w:rPr>
        <w:t>.其他要求</w:t>
      </w:r>
    </w:p>
    <w:p w14:paraId="44A290F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w:t>
      </w:r>
      <w:r>
        <w:rPr>
          <w:rFonts w:ascii="方正仿宋_GB2312" w:hAnsi="方正仿宋_GB2312" w:eastAsia="方正仿宋_GB2312" w:cs="方正仿宋_GB2312"/>
          <w:szCs w:val="21"/>
        </w:rPr>
        <w:t>.1</w:t>
      </w:r>
      <w:r>
        <w:rPr>
          <w:rFonts w:hint="eastAsia" w:ascii="方正仿宋_GB2312" w:hAnsi="方正仿宋_GB2312" w:eastAsia="方正仿宋_GB2312" w:cs="方正仿宋_GB2312"/>
          <w:szCs w:val="21"/>
        </w:rPr>
        <w:t>所有投标人必须提供技术成熟的定型产品，不接受通过改造才能达标的产品，不接受目前尚处于开发、设计、研制或试验阶段的产品。</w:t>
      </w:r>
    </w:p>
    <w:p w14:paraId="3A4629A1">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9.2</w:t>
      </w:r>
      <w:r>
        <w:rPr>
          <w:rFonts w:hint="eastAsia" w:ascii="方正仿宋_GB2312" w:hAnsi="方正仿宋_GB2312" w:eastAsia="方正仿宋_GB2312" w:cs="方正仿宋_GB2312"/>
          <w:szCs w:val="21"/>
        </w:rPr>
        <w:t>本项目为交钥匙工程，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4FD69055">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9.3</w:t>
      </w:r>
      <w:r>
        <w:rPr>
          <w:rFonts w:hint="eastAsia" w:ascii="方正仿宋_GB2312" w:hAnsi="方正仿宋_GB2312" w:eastAsia="方正仿宋_GB2312" w:cs="方正仿宋_GB2312"/>
          <w:szCs w:val="21"/>
        </w:rPr>
        <w:t>乙方交付的货物未通过甲方验收的，甲方有权解除本合同，乙方应当自合同解除之日起【</w:t>
      </w:r>
      <w:r>
        <w:rPr>
          <w:rFonts w:ascii="方正仿宋_GB2312" w:hAnsi="方正仿宋_GB2312" w:eastAsia="方正仿宋_GB2312" w:cs="方正仿宋_GB2312"/>
          <w:szCs w:val="21"/>
        </w:rPr>
        <w:t>15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2B9F5E8B">
      <w:pPr>
        <w:pStyle w:val="37"/>
        <w:kinsoku w:val="0"/>
        <w:overflowPunct w:val="0"/>
        <w:autoSpaceDE w:val="0"/>
        <w:autoSpaceDN w:val="0"/>
        <w:spacing w:line="288" w:lineRule="auto"/>
        <w:outlineLvl w:val="0"/>
        <w:rPr>
          <w:rFonts w:ascii="黑体" w:hAnsi="黑体" w:eastAsia="黑体" w:cs="黑体"/>
          <w:bCs/>
          <w:szCs w:val="21"/>
        </w:rPr>
      </w:pPr>
      <w:r>
        <w:rPr>
          <w:rFonts w:hint="eastAsia" w:ascii="黑体" w:hAnsi="黑体" w:eastAsia="黑体" w:cs="黑体"/>
          <w:bCs/>
          <w:szCs w:val="21"/>
        </w:rPr>
        <w:t>二、包装要求及运输方式</w:t>
      </w:r>
    </w:p>
    <w:p w14:paraId="1BFAD10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00323E9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2.在未收货前，货物保管、安全均由中标人负责。</w:t>
      </w:r>
    </w:p>
    <w:p w14:paraId="22988F3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3.提供的产品须为全新原装正品，相关配套附件质量优良，数量齐全。</w:t>
      </w:r>
    </w:p>
    <w:p w14:paraId="51BAC85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4.中标人需注明仪器设备的上门质保期限和具体的维修保障内容。在质保期满后，中标人应提供终身上门维修保养且仅收取成本费，并在标书中标明上门维修保养的费用。</w:t>
      </w:r>
    </w:p>
    <w:p w14:paraId="05A54D1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5.采购人使用该设备的任何一部分，当受第三方提出的侵犯其专利权、商标权或工业设计权的投诉时，一切后果由中标人负责。</w:t>
      </w:r>
    </w:p>
    <w:p w14:paraId="318A17E9">
      <w:pPr>
        <w:pStyle w:val="37"/>
        <w:kinsoku w:val="0"/>
        <w:overflowPunct w:val="0"/>
        <w:autoSpaceDE w:val="0"/>
        <w:autoSpaceDN w:val="0"/>
        <w:spacing w:line="288" w:lineRule="auto"/>
        <w:outlineLvl w:val="0"/>
        <w:rPr>
          <w:rFonts w:ascii="黑体" w:hAnsi="黑体" w:eastAsia="黑体" w:cs="黑体"/>
          <w:bCs/>
          <w:szCs w:val="21"/>
          <w:lang w:val="zh-CN"/>
        </w:rPr>
      </w:pPr>
      <w:r>
        <w:rPr>
          <w:rFonts w:hint="eastAsia" w:ascii="黑体" w:hAnsi="黑体" w:eastAsia="黑体" w:cs="黑体"/>
          <w:bCs/>
          <w:szCs w:val="21"/>
          <w:lang w:val="zh-CN"/>
        </w:rPr>
        <w:t>三、付款方式与交货</w:t>
      </w:r>
    </w:p>
    <w:p w14:paraId="19C408DC">
      <w:pPr>
        <w:adjustRightInd w:val="0"/>
        <w:snapToGrid w:val="0"/>
        <w:spacing w:line="560" w:lineRule="exact"/>
        <w:ind w:firstLine="420" w:firstLineChars="200"/>
        <w:rPr>
          <w:rFonts w:ascii="方正仿宋_GB2312" w:hAnsi="方正仿宋_GB2312" w:eastAsia="方正仿宋_GB2312" w:cs="方正仿宋_GB2312"/>
          <w:szCs w:val="21"/>
        </w:rPr>
      </w:pPr>
      <w:bookmarkStart w:id="0" w:name="_Hlk79778165"/>
      <w:r>
        <w:rPr>
          <w:rFonts w:hint="eastAsia" w:ascii="方正仿宋_GB2312" w:hAnsi="方正仿宋_GB2312" w:eastAsia="方正仿宋_GB2312" w:cs="方正仿宋_GB2312"/>
          <w:szCs w:val="21"/>
        </w:rPr>
        <w:t>1.投标方报价中必须包括所有费用，即不需要再花费额外任何资金，仪器设备安装验收后就能正常工作使用。</w:t>
      </w:r>
      <w:bookmarkStart w:id="2" w:name="_GoBack"/>
      <w:bookmarkEnd w:id="0"/>
    </w:p>
    <w:bookmarkEnd w:id="2"/>
    <w:p w14:paraId="109490C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2.付款方式：</w:t>
      </w:r>
      <w:bookmarkStart w:id="1" w:name="_Hlk91771041"/>
    </w:p>
    <w:bookmarkEnd w:id="1"/>
    <w:p w14:paraId="2E82E641">
      <w:pPr>
        <w:pStyle w:val="12"/>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2.1在验收合格之后中标人向采购人账户支付合同全款的5%作为履约保证金，收到中标人履约保证金后次日起15个工作日内，采购人向中标人支付合同全款的100%。履约保证金在验收合格起12个月后7个工作日内退回，不计利息。</w:t>
      </w:r>
    </w:p>
    <w:p w14:paraId="6EC81BC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2.2采购人凭中标人提供的等额</w:t>
      </w:r>
      <w:r>
        <w:rPr>
          <w:rFonts w:hint="eastAsia" w:ascii="方正仿宋_GB2312" w:hAnsi="方正仿宋_GB2312" w:eastAsia="方正仿宋_GB2312" w:cs="方正仿宋_GB2312"/>
          <w:b/>
          <w:bCs/>
          <w:szCs w:val="21"/>
        </w:rPr>
        <w:t>法定增值税专用发票</w:t>
      </w:r>
      <w:r>
        <w:rPr>
          <w:rFonts w:hint="eastAsia" w:ascii="方正仿宋_GB2312" w:hAnsi="方正仿宋_GB2312" w:eastAsia="方正仿宋_GB2312" w:cs="方正仿宋_GB2312"/>
          <w:szCs w:val="21"/>
        </w:rPr>
        <w:t>，向中标人付款。中标人延期提供发票，则采购人付款时间相应顺延。</w:t>
      </w:r>
    </w:p>
    <w:p w14:paraId="0DDED58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3.交货时间：合同签订后</w:t>
      </w:r>
      <w:r>
        <w:rPr>
          <w:rFonts w:ascii="方正仿宋_GB2312" w:hAnsi="方正仿宋_GB2312" w:eastAsia="方正仿宋_GB2312" w:cs="方正仿宋_GB2312"/>
          <w:szCs w:val="21"/>
        </w:rPr>
        <w:t>2</w:t>
      </w:r>
      <w:r>
        <w:rPr>
          <w:rFonts w:hint="eastAsia" w:ascii="方正仿宋_GB2312" w:hAnsi="方正仿宋_GB2312" w:eastAsia="方正仿宋_GB2312" w:cs="方正仿宋_GB2312"/>
          <w:szCs w:val="21"/>
        </w:rPr>
        <w:t>个月内到货并完成安装及调试。</w:t>
      </w:r>
    </w:p>
    <w:p w14:paraId="38B13D2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4.交货内容</w:t>
      </w:r>
    </w:p>
    <w:p w14:paraId="02830C9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4.1设备主件及附件。</w:t>
      </w:r>
    </w:p>
    <w:p w14:paraId="788671B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4.2设备各种资料，包括提供设备出厂合格证、使用说明书、质量证明文件、装箱单等。</w:t>
      </w:r>
    </w:p>
    <w:p w14:paraId="58C46AA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5.交货地点：</w:t>
      </w:r>
      <w:r>
        <w:rPr>
          <w:rFonts w:hint="eastAsia" w:ascii="方正仿宋_GB2312" w:hAnsi="方正仿宋_GB2312" w:eastAsia="方正仿宋_GB2312" w:cs="方正仿宋_GB2312"/>
          <w:szCs w:val="21"/>
          <w:lang w:val="en-US" w:eastAsia="zh-CN"/>
        </w:rPr>
        <w:t>中南大学</w:t>
      </w:r>
      <w:r>
        <w:rPr>
          <w:rFonts w:hint="eastAsia" w:ascii="方正仿宋_GB2312" w:hAnsi="方正仿宋_GB2312" w:eastAsia="方正仿宋_GB2312" w:cs="方正仿宋_GB2312"/>
          <w:szCs w:val="21"/>
        </w:rPr>
        <w:t>。</w:t>
      </w:r>
    </w:p>
    <w:p w14:paraId="48A753D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071"/>
    <w:rsid w:val="00065BDC"/>
    <w:rsid w:val="000B37CF"/>
    <w:rsid w:val="001251CB"/>
    <w:rsid w:val="00187800"/>
    <w:rsid w:val="002336B5"/>
    <w:rsid w:val="002D6826"/>
    <w:rsid w:val="003D7A44"/>
    <w:rsid w:val="00473071"/>
    <w:rsid w:val="00611F70"/>
    <w:rsid w:val="00613FC3"/>
    <w:rsid w:val="006258FB"/>
    <w:rsid w:val="006B69E6"/>
    <w:rsid w:val="006E5341"/>
    <w:rsid w:val="0073032D"/>
    <w:rsid w:val="00783BD8"/>
    <w:rsid w:val="00786E8F"/>
    <w:rsid w:val="00804D18"/>
    <w:rsid w:val="00AC438E"/>
    <w:rsid w:val="00B70864"/>
    <w:rsid w:val="00B7217D"/>
    <w:rsid w:val="00B9074C"/>
    <w:rsid w:val="00C33670"/>
    <w:rsid w:val="00C96449"/>
    <w:rsid w:val="00D339F5"/>
    <w:rsid w:val="00E6166A"/>
    <w:rsid w:val="00F240DF"/>
    <w:rsid w:val="00F3118B"/>
    <w:rsid w:val="36B77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none"/>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4"/>
    <w:semiHidden/>
    <w:unhideWhenUsed/>
    <w:qFormat/>
    <w:uiPriority w:val="99"/>
    <w:pPr>
      <w:jc w:val="left"/>
    </w:pPr>
  </w:style>
  <w:style w:type="paragraph" w:styleId="12">
    <w:name w:val="Body Text"/>
    <w:basedOn w:val="1"/>
    <w:next w:val="1"/>
    <w:link w:val="45"/>
    <w:qFormat/>
    <w:uiPriority w:val="0"/>
    <w:pPr>
      <w:spacing w:after="120"/>
    </w:pPr>
  </w:style>
  <w:style w:type="paragraph" w:styleId="13">
    <w:name w:val="Body Text Indent"/>
    <w:basedOn w:val="1"/>
    <w:link w:val="46"/>
    <w:semiHidden/>
    <w:unhideWhenUsed/>
    <w:qFormat/>
    <w:uiPriority w:val="99"/>
    <w:pPr>
      <w:spacing w:after="120"/>
      <w:ind w:left="420" w:leftChars="200"/>
    </w:pPr>
  </w:style>
  <w:style w:type="paragraph" w:styleId="14">
    <w:name w:val="Balloon Text"/>
    <w:basedOn w:val="1"/>
    <w:link w:val="50"/>
    <w:semiHidden/>
    <w:unhideWhenUsed/>
    <w:qFormat/>
    <w:uiPriority w:val="99"/>
    <w:rPr>
      <w:sz w:val="18"/>
      <w:szCs w:val="18"/>
    </w:rPr>
  </w:style>
  <w:style w:type="paragraph" w:styleId="15">
    <w:name w:val="footer"/>
    <w:basedOn w:val="1"/>
    <w:link w:val="43"/>
    <w:unhideWhenUsed/>
    <w:uiPriority w:val="99"/>
    <w:pPr>
      <w:tabs>
        <w:tab w:val="center" w:pos="4153"/>
        <w:tab w:val="right" w:pos="8306"/>
      </w:tabs>
      <w:snapToGrid w:val="0"/>
      <w:jc w:val="left"/>
    </w:pPr>
    <w:rPr>
      <w:sz w:val="18"/>
      <w:szCs w:val="18"/>
    </w:rPr>
  </w:style>
  <w:style w:type="paragraph" w:styleId="16">
    <w:name w:val="header"/>
    <w:basedOn w:val="1"/>
    <w:link w:val="42"/>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4"/>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9">
    <w:name w:val="annotation subject"/>
    <w:basedOn w:val="11"/>
    <w:next w:val="11"/>
    <w:link w:val="49"/>
    <w:semiHidden/>
    <w:unhideWhenUsed/>
    <w:qFormat/>
    <w:uiPriority w:val="99"/>
    <w:rPr>
      <w:b/>
      <w:bCs/>
    </w:rPr>
  </w:style>
  <w:style w:type="paragraph" w:styleId="20">
    <w:name w:val="Body Text First Indent 2"/>
    <w:basedOn w:val="13"/>
    <w:link w:val="47"/>
    <w:unhideWhenUsed/>
    <w:qFormat/>
    <w:uiPriority w:val="99"/>
    <w:pPr>
      <w:ind w:firstLine="420" w:firstLineChars="200"/>
    </w:pPr>
  </w:style>
  <w:style w:type="character" w:styleId="23">
    <w:name w:val="annotation reference"/>
    <w:basedOn w:val="22"/>
    <w:semiHidden/>
    <w:unhideWhenUsed/>
    <w:qFormat/>
    <w:uiPriority w:val="99"/>
    <w:rPr>
      <w:sz w:val="21"/>
      <w:szCs w:val="21"/>
    </w:rPr>
  </w:style>
  <w:style w:type="character" w:customStyle="1" w:styleId="24">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2"/>
    <w:link w:val="5"/>
    <w:semiHidden/>
    <w:qFormat/>
    <w:uiPriority w:val="9"/>
    <w:rPr>
      <w:rFonts w:cstheme="majorBidi"/>
      <w:color w:val="104862" w:themeColor="accent1" w:themeShade="BF"/>
      <w:sz w:val="28"/>
      <w:szCs w:val="28"/>
    </w:rPr>
  </w:style>
  <w:style w:type="character" w:customStyle="1" w:styleId="28">
    <w:name w:val="标题 5 字符"/>
    <w:basedOn w:val="22"/>
    <w:link w:val="6"/>
    <w:semiHidden/>
    <w:uiPriority w:val="9"/>
    <w:rPr>
      <w:rFonts w:cstheme="majorBidi"/>
      <w:color w:val="104862" w:themeColor="accent1" w:themeShade="BF"/>
      <w:sz w:val="24"/>
      <w:szCs w:val="24"/>
    </w:rPr>
  </w:style>
  <w:style w:type="character" w:customStyle="1" w:styleId="29">
    <w:name w:val="标题 6 字符"/>
    <w:basedOn w:val="22"/>
    <w:link w:val="7"/>
    <w:semiHidden/>
    <w:qFormat/>
    <w:uiPriority w:val="9"/>
    <w:rPr>
      <w:rFonts w:cstheme="majorBidi"/>
      <w:b/>
      <w:bCs/>
      <w:color w:val="104862" w:themeColor="accent1" w:themeShade="BF"/>
    </w:rPr>
  </w:style>
  <w:style w:type="character" w:customStyle="1" w:styleId="30">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2"/>
    <w:link w:val="18"/>
    <w:uiPriority w:val="10"/>
    <w:rPr>
      <w:rFonts w:asciiTheme="majorHAnsi" w:hAnsiTheme="majorHAnsi" w:eastAsiaTheme="majorEastAsia" w:cstheme="majorBidi"/>
      <w:spacing w:val="-10"/>
      <w:kern w:val="28"/>
      <w:sz w:val="56"/>
      <w:szCs w:val="56"/>
    </w:rPr>
  </w:style>
  <w:style w:type="character" w:customStyle="1" w:styleId="34">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2"/>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link w:val="48"/>
    <w:qFormat/>
    <w:uiPriority w:val="1"/>
    <w:pPr>
      <w:ind w:left="720"/>
      <w:contextualSpacing/>
    </w:pPr>
  </w:style>
  <w:style w:type="character" w:customStyle="1" w:styleId="38">
    <w:name w:val="Intense Emphasis"/>
    <w:basedOn w:val="22"/>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2"/>
    <w:link w:val="39"/>
    <w:qFormat/>
    <w:uiPriority w:val="30"/>
    <w:rPr>
      <w:i/>
      <w:iCs/>
      <w:color w:val="104862" w:themeColor="accent1" w:themeShade="BF"/>
    </w:rPr>
  </w:style>
  <w:style w:type="character" w:customStyle="1" w:styleId="41">
    <w:name w:val="Intense Reference"/>
    <w:basedOn w:val="22"/>
    <w:qFormat/>
    <w:uiPriority w:val="32"/>
    <w:rPr>
      <w:b/>
      <w:bCs/>
      <w:smallCaps/>
      <w:color w:val="104862" w:themeColor="accent1" w:themeShade="BF"/>
      <w:spacing w:val="5"/>
    </w:rPr>
  </w:style>
  <w:style w:type="character" w:customStyle="1" w:styleId="42">
    <w:name w:val="页眉 字符"/>
    <w:basedOn w:val="22"/>
    <w:link w:val="16"/>
    <w:qFormat/>
    <w:uiPriority w:val="99"/>
    <w:rPr>
      <w:sz w:val="18"/>
      <w:szCs w:val="18"/>
    </w:rPr>
  </w:style>
  <w:style w:type="character" w:customStyle="1" w:styleId="43">
    <w:name w:val="页脚 字符"/>
    <w:basedOn w:val="22"/>
    <w:link w:val="15"/>
    <w:qFormat/>
    <w:uiPriority w:val="99"/>
    <w:rPr>
      <w:sz w:val="18"/>
      <w:szCs w:val="18"/>
    </w:rPr>
  </w:style>
  <w:style w:type="character" w:customStyle="1" w:styleId="44">
    <w:name w:val="批注文字 字符"/>
    <w:basedOn w:val="22"/>
    <w:link w:val="11"/>
    <w:semiHidden/>
    <w:qFormat/>
    <w:uiPriority w:val="99"/>
    <w:rPr>
      <w14:ligatures w14:val="none"/>
    </w:rPr>
  </w:style>
  <w:style w:type="character" w:customStyle="1" w:styleId="45">
    <w:name w:val="正文文本 字符"/>
    <w:basedOn w:val="22"/>
    <w:link w:val="12"/>
    <w:qFormat/>
    <w:uiPriority w:val="0"/>
    <w:rPr>
      <w14:ligatures w14:val="none"/>
    </w:rPr>
  </w:style>
  <w:style w:type="character" w:customStyle="1" w:styleId="46">
    <w:name w:val="正文文本缩进 字符"/>
    <w:basedOn w:val="22"/>
    <w:link w:val="13"/>
    <w:semiHidden/>
    <w:qFormat/>
    <w:uiPriority w:val="99"/>
    <w:rPr>
      <w14:ligatures w14:val="none"/>
    </w:rPr>
  </w:style>
  <w:style w:type="character" w:customStyle="1" w:styleId="47">
    <w:name w:val="正文文本首行缩进 2 字符"/>
    <w:basedOn w:val="46"/>
    <w:link w:val="20"/>
    <w:qFormat/>
    <w:uiPriority w:val="99"/>
    <w:rPr>
      <w14:ligatures w14:val="none"/>
    </w:rPr>
  </w:style>
  <w:style w:type="character" w:customStyle="1" w:styleId="48">
    <w:name w:val="列表段落 字符"/>
    <w:link w:val="37"/>
    <w:qFormat/>
    <w:uiPriority w:val="1"/>
  </w:style>
  <w:style w:type="character" w:customStyle="1" w:styleId="49">
    <w:name w:val="批注主题 字符"/>
    <w:basedOn w:val="44"/>
    <w:link w:val="19"/>
    <w:semiHidden/>
    <w:qFormat/>
    <w:uiPriority w:val="99"/>
    <w:rPr>
      <w:b/>
      <w:bCs/>
      <w14:ligatures w14:val="none"/>
    </w:rPr>
  </w:style>
  <w:style w:type="character" w:customStyle="1" w:styleId="50">
    <w:name w:val="批注框文本 字符"/>
    <w:basedOn w:val="22"/>
    <w:link w:val="14"/>
    <w:semiHidden/>
    <w:qFormat/>
    <w:uiPriority w:val="99"/>
    <w:rPr>
      <w:sz w:val="18"/>
      <w:szCs w:val="18"/>
      <w14:ligatures w14: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9CB54-BCC8-46D0-8F06-CF89EC8792D2}">
  <ds:schemaRefs/>
</ds:datastoreItem>
</file>

<file path=docProps/app.xml><?xml version="1.0" encoding="utf-8"?>
<Properties xmlns="http://schemas.openxmlformats.org/officeDocument/2006/extended-properties" xmlns:vt="http://schemas.openxmlformats.org/officeDocument/2006/docPropsVTypes">
  <Template>Normal.dotm</Template>
  <Pages>4</Pages>
  <Words>2691</Words>
  <Characters>2772</Characters>
  <Lines>20</Lines>
  <Paragraphs>5</Paragraphs>
  <TotalTime>41</TotalTime>
  <ScaleCrop>false</ScaleCrop>
  <LinksUpToDate>false</LinksUpToDate>
  <CharactersWithSpaces>2778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2025-11-27T02:56:00Z</dcterms:created>
  <dc:creator>JIE YANG</dc:creator>
  <cp:lastModifiedBy>段池</cp:lastModifiedBy>
  <dcterms:modified xsi:type="dcterms:W3CDTF">2026-01-19T07:06:37Z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3A1257B9279445289DF5C289A2054751_12</vt:lpwstr>
  </property>
</Properties>
</file>