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9A4B5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>附件2：</w:t>
      </w:r>
    </w:p>
    <w:p w14:paraId="32581172">
      <w:pPr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拟购流式细胞仪2基本情况</w:t>
      </w:r>
    </w:p>
    <w:p w14:paraId="52266E64">
      <w:pPr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（一）拟购设备用途、功能</w:t>
      </w:r>
    </w:p>
    <w:p w14:paraId="434760B7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1.用途要求</w:t>
      </w:r>
    </w:p>
    <w:p w14:paraId="7E0C68B1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流式细胞仪面向全校基础医学、临床医学、公共卫生与预防医学、生物科学、药学等5个以上专业，每学年约2000名学生，服务《医学免疫学》、《药理学》、《细胞生物学》等3门课程，开设高维免疫细胞检测实验、细胞活性及功能性实验检测实验、镇痛药物的筛选设计性实验等3个以上实验项目。预计每年教学实验可达500小时数。</w:t>
      </w:r>
    </w:p>
    <w:p w14:paraId="049E028B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2.功能要求</w:t>
      </w:r>
    </w:p>
    <w:p w14:paraId="55446635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检测分析细胞，收集、储存和处理数据，并对群体细胞在单细胞水平上进行多参数定量分析。可以用于细胞精细亚群分析、细胞周期凋亡、细胞表面物质分析、细胞DNA和RNA含量等方面在各学科中发挥着重要的作用。</w:t>
      </w:r>
    </w:p>
    <w:p w14:paraId="1761DA5A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（二）拟设技术参数</w:t>
      </w:r>
    </w:p>
    <w:p w14:paraId="26A1F15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1.核心参数</w:t>
      </w:r>
    </w:p>
    <w:p w14:paraId="2FA38AE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1.1配置：主机配有3根高功率固态激光器，不少于10色荧光，FSC和SSC,波长和功率：488nm≥50mW，638nm≥50mW，405nm≥80mW，可原机升级最高至3激光13色荧光；</w:t>
      </w:r>
    </w:p>
    <w:p w14:paraId="61C9302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1.2每个荧光通道配有独立的荧光检测器，不同波长的激光不可共用荧光检测器，以保证信号的实时性、完整性；</w:t>
      </w:r>
    </w:p>
    <w:p w14:paraId="62F8670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1.3采用固体、高效、低噪音光纤二极管阵列检测器FAPD，能更好提高信号分辨率及获得更准确的数据；</w:t>
      </w:r>
    </w:p>
    <w:p w14:paraId="5114AAB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1.4光信号收集系统，能将大视野范围内的光信号准确地传递到接收光路中，数值孔径（NA）值≥1.3，能将大视野范围内的光信号更多地传递到接收光路中；</w:t>
      </w:r>
    </w:p>
    <w:p w14:paraId="70E49C4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1.5采用全带通滤片，不再使用二分镜，反射光学系统在每个检测器前只经过一个带通滤片，减少光信号在传递过程中的损耗，从而有效保证信号的保真度；</w:t>
      </w:r>
    </w:p>
    <w:p w14:paraId="1258660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1.6可拔插式滤光片支架设计，易于更换，免调试；用户可根据自己的实验需求自行进行滤片更换，以保证新染料的应用不受限制；</w:t>
      </w:r>
    </w:p>
    <w:p w14:paraId="46919930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1.7集成式固定光路，无需人工调校，内置日常质控功能，自动校准激光延迟和光路，以确保最佳性能。</w:t>
      </w:r>
    </w:p>
    <w:p w14:paraId="16A053B6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2.系统分析性能</w:t>
      </w:r>
    </w:p>
    <w:p w14:paraId="3B03E08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2.1支持多色荧光信号共同采集，多参数同时检测时，分析速度≥30,000个细胞/秒；</w:t>
      </w:r>
    </w:p>
    <w:p w14:paraId="567B687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 xml:space="preserve">2.2荧光检测灵敏度：FITC ≤ 30 MESF、PE ≤10 MESF，以官方彩页为准; </w:t>
      </w:r>
    </w:p>
    <w:p w14:paraId="6703F0A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2.3荧光检测分辨率：CV小于3%；</w:t>
      </w:r>
    </w:p>
    <w:p w14:paraId="63961B2D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2.4侧向散射光分辨率：80nm。满足外泌体或类似微颗粒分析使用。要求提供实验检测图，要求检测颗粒和背景分开；</w:t>
      </w:r>
    </w:p>
    <w:p w14:paraId="463088B5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2.5具有很好的8峰Rainbow微球检测性能，要求所配的荧光通道对应的荧光染料8个峰均可以分开，要求各峰间（峰谷）Count为0，要求提供检测图；</w:t>
      </w:r>
    </w:p>
    <w:p w14:paraId="2320D3B0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2.6采用无脉冲蠕动泵进样，具有无微球绝对计数功能。</w:t>
      </w:r>
    </w:p>
    <w:p w14:paraId="3146B8D4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3.电子系统</w:t>
      </w:r>
    </w:p>
    <w:p w14:paraId="56DCAD1C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3.1数字分辨率：24-bit 动力学范围及16,777,216通道分辨率。</w:t>
      </w:r>
    </w:p>
    <w:p w14:paraId="0D80370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3.2数字化信号动态检测范围：≥7个对数阈（7-decade dynamic range），超宽的动态数据显示范围，可以同时将高信号和低信号都完全显示在一张图上，获得足够的分辨率。</w:t>
      </w:r>
    </w:p>
    <w:p w14:paraId="0132EF97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4.液流系统</w:t>
      </w:r>
    </w:p>
    <w:p w14:paraId="76F4053D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4.1可预设低、中、高三档进样模式，用户也可以根据样本量或样本浓度进行自定义进样控制，自定义上样速度调节范围从10µL至240µL/min；</w:t>
      </w:r>
    </w:p>
    <w:p w14:paraId="378AD179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4.2非注射泵驱动，节省样本，最小上样体积：≤10µL；</w:t>
      </w:r>
    </w:p>
    <w:p w14:paraId="5EBB4BFE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4.3上样方式：开放式进样底座支持多种常用样本管，支持标准流式管上样，也可直接用1.5 mL 和 2 mL EP管上样</w:t>
      </w:r>
    </w:p>
    <w:p w14:paraId="45FFD30D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4.4液流系统日常维护简单、清洗简便，开关机程序全自动完成，全部由软件自动控制。</w:t>
      </w:r>
    </w:p>
    <w:p w14:paraId="09B9E367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5.软件系统</w:t>
      </w:r>
    </w:p>
    <w:p w14:paraId="69B4AD8B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5.1配置原装工作站和软件，使用Window 7或以上操作系统；</w:t>
      </w:r>
    </w:p>
    <w:p w14:paraId="076386A2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5.2中、英文双语言系统开放软件，可以免费安装到个人电脑中进行数据分析；</w:t>
      </w:r>
    </w:p>
    <w:p w14:paraId="5808809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5.3采用拖拽方式进行电压（增益）及补偿的调节，直观且操作简易，轻松调整参数设置；全矩阵荧光补偿，补偿库可存储荧光染料的补偿矩阵溢出值，建立智能补偿库，当增益值（电压）改变时，智能补偿库可重新计算并实时自动调节，确定正确的补偿矩阵；可以根据不同试剂组合新的补偿矩阵；自动补偿和手动补偿均支持；</w:t>
      </w:r>
    </w:p>
    <w:p w14:paraId="60D33DDF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5.4全自动仪器调节及QC，包括仪器配置检测，激光功率检测，激光延迟计算，基础电压调节，CV检测；每日自动QC质控形成Levey-Jennings曲线，跟踪仪器性能；</w:t>
      </w:r>
    </w:p>
    <w:p w14:paraId="280E3E28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5.5图形化操作界面及自动化控制程序，具有启动、清洗、除泡、反冲、深度清洗，仪器报警及维护提示功能；</w:t>
      </w:r>
    </w:p>
    <w:p w14:paraId="0648A547">
      <w:r>
        <w:rPr>
          <w:rFonts w:hint="eastAsia" w:ascii="宋体" w:hAnsi="宋体" w:cs="宋体"/>
          <w:sz w:val="30"/>
          <w:szCs w:val="30"/>
        </w:rPr>
        <w:t>5.6支持多种图形模式，直方图/散点图/密度图/等高线图/伪彩色图，具备图形叠加功能，可进行实时分析、细胞绝对数分析、彩色GATE分析、去粘连分析。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9A4B84"/>
    <w:rsid w:val="429A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2025-03-11T07:53:00Z</dcterms:created>
  <dc:creator>hubin</dc:creator>
  <cp:lastModifiedBy>hubin</cp:lastModifiedBy>
  <dcterms:modified xsi:type="dcterms:W3CDTF">2025-03-11T07:53:30Z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9D638F0EA43644749338E431A9320041_11</vt:lpwstr>
  </property>
  <property fmtid="{D5CDD505-2E9C-101B-9397-08002B2CF9AE}" pid="4" name="KSOTemplateDocerSaveRecord">
    <vt:lpwstr>eyJoZGlkIjoiMGRiNTVmMzcxMzdhMDg5OTU0YWQ2MDdhNzZjZmY1NDEifQ==</vt:lpwstr>
  </property>
</Properties>
</file>