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062225">
      <w:pPr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玻片扫描影像系统技术要求</w:t>
      </w:r>
    </w:p>
    <w:p w14:paraId="65040811">
      <w:pPr>
        <w:pStyle w:val="4"/>
        <w:rPr>
          <w:rFonts w:hint="default" w:ascii="Times New Roman" w:hAnsi="Times New Roman" w:cs="Times New Roman"/>
        </w:rPr>
      </w:pPr>
    </w:p>
    <w:p w14:paraId="6D7BF2CF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560" w:lineRule="exact"/>
        <w:rPr>
          <w:rFonts w:hint="default" w:ascii="Times New Roman" w:hAnsi="Times New Roman" w:eastAsia="黑体" w:cs="Times New Roman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采购内容01—</w:t>
      </w:r>
      <w:r>
        <w:rPr>
          <w:rFonts w:hint="default" w:ascii="Times New Roman" w:hAnsi="Times New Roman" w:cs="Times New Roman"/>
          <w:b/>
          <w:bCs/>
          <w:sz w:val="32"/>
          <w:szCs w:val="40"/>
        </w:rPr>
        <w:t>玻片扫描影像系统</w:t>
      </w:r>
    </w:p>
    <w:p w14:paraId="44FDE6F8">
      <w:pPr>
        <w:numPr>
          <w:ilvl w:val="0"/>
          <w:numId w:val="0"/>
        </w:numPr>
        <w:tabs>
          <w:tab w:val="left" w:pos="0"/>
        </w:tabs>
        <w:adjustRightInd w:val="0"/>
        <w:snapToGrid w:val="0"/>
        <w:spacing w:line="560" w:lineRule="exact"/>
        <w:rPr>
          <w:rFonts w:hint="default" w:ascii="Times New Roman" w:hAnsi="Times New Roman" w:eastAsia="方正仿宋_GB2312" w:cs="Times New Roman"/>
          <w:b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/>
          <w:sz w:val="32"/>
          <w:szCs w:val="32"/>
        </w:rPr>
        <w:t>（一）设备信息</w:t>
      </w:r>
    </w:p>
    <w:p w14:paraId="664269DE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1.设备名称：玻片扫描影像系统</w:t>
      </w:r>
    </w:p>
    <w:p w14:paraId="43370398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2.数量：1台</w:t>
      </w:r>
    </w:p>
    <w:p w14:paraId="5FDDA839">
      <w:pPr>
        <w:tabs>
          <w:tab w:val="left" w:pos="0"/>
        </w:tabs>
        <w:adjustRightInd w:val="0"/>
        <w:snapToGrid w:val="0"/>
        <w:spacing w:line="560" w:lineRule="exact"/>
        <w:rPr>
          <w:rFonts w:hint="default" w:ascii="Times New Roman" w:hAnsi="Times New Roman" w:eastAsia="方正仿宋_GB2312" w:cs="Times New Roman"/>
          <w:b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/>
          <w:sz w:val="32"/>
          <w:szCs w:val="32"/>
        </w:rPr>
        <w:t>（二）用途、功能和参数要求</w:t>
      </w:r>
    </w:p>
    <w:p w14:paraId="6CF3E8BE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1.主要应用及功能：</w:t>
      </w:r>
    </w:p>
    <w:p w14:paraId="3BA3AFC8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玻片扫描影像系统采用先进的光学成像技术与精准的自动化控制，支持明场扫描模式，确保高清晰度与高效率的影像采集，用于病理诊断、教学科研及免疫组化分析等领域</w:t>
      </w:r>
    </w:p>
    <w:p w14:paraId="4340057C">
      <w:pPr>
        <w:numPr>
          <w:ilvl w:val="0"/>
          <w:numId w:val="2"/>
        </w:num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主要技术参数</w:t>
      </w:r>
    </w:p>
    <w:p w14:paraId="597C9DF1">
      <w:pPr>
        <w:numPr>
          <w:ilvl w:val="0"/>
          <w:numId w:val="0"/>
        </w:num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1成像设备：大靶面面阵CMOS，像素≥1200万，帧率≥22帧/秒。</w:t>
      </w:r>
    </w:p>
    <w:p w14:paraId="148B7A3B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2扫描方式：采用面阵扫描技术，而非线性扫描技术；。</w:t>
      </w:r>
    </w:p>
    <w:p w14:paraId="16730BA0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3光源：采用高速频闪光源，而非普通的常亮LED光源，保证在高速扫描时提供足够的光通量。</w:t>
      </w:r>
    </w:p>
    <w:p w14:paraId="64DE6E88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4对焦轴控制：双级对焦；预对焦重复定位精度≤1.0μm。</w:t>
      </w:r>
    </w:p>
    <w:p w14:paraId="4BD1C9E5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5细对焦重复定位精度≦10nm，10μm阶跃定位时间≦40ms。（投标文件中须提供由获得CNAS或CMA计量认证机构出具的检验报告，并标明对应参数）</w:t>
      </w:r>
    </w:p>
    <w:p w14:paraId="45A8807D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6系统成像速度：系统成像速度选择扫描范围统一为15.00mm*15.00mm，其误差不超过1mm。20倍物镜下扫描时间≦70s；40倍物镜下扫描时间≦190s。</w:t>
      </w:r>
    </w:p>
    <w:p w14:paraId="769B9FBA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7扫描分辨率：20倍物镜下扫描分辨率≦0.20μm/pixel，误差为±15%；40倍物镜下扫描分辨率≦0.10μm /pixel，误差为±15%。</w:t>
      </w:r>
    </w:p>
    <w:p w14:paraId="525DD10C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8扫描范围：≥24.6mm*45mm，误差为±10%。</w:t>
      </w:r>
    </w:p>
    <w:p w14:paraId="5F056F2E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9切片同时装载数量≧40片。</w:t>
      </w:r>
    </w:p>
    <w:p w14:paraId="425892BF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10系统同时搭载两个真实进口物镜， 20X物镜数值孔径≥0.80NA ；40X物镜数值孔径≥0.95NA，可以软件自由切换两种物镜，无需手动切换。（投标文件中须提供由获得CNAS或CMA计量认证机构出具的检验报告，并标明对应参数）</w:t>
      </w:r>
    </w:p>
    <w:p w14:paraId="423449F5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11扫描工作站：i7处理器≥16线程；硬盘≥4TB；内存≥64G；显示器≥23.8英寸。</w:t>
      </w:r>
    </w:p>
    <w:p w14:paraId="53C588E7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12扫描工作站装有扫描控制软件、数字切片浏览软件，用于扫描过程的控制和扫描结果WSI图像的浏览。</w:t>
      </w:r>
    </w:p>
    <w:p w14:paraId="1C2A2C8C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13玻片扫描影像系统软件</w:t>
      </w:r>
    </w:p>
    <w:p w14:paraId="005C00E0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13.1自动装片和卸片；工作模式：自动和手动两种功能模式选择。</w:t>
      </w:r>
    </w:p>
    <w:p w14:paraId="575AB0D5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13.2玻片识别类型选择（HE染色切片、细胞学切片、免疫组化切片），可自动识别HE染色切片、细胞学切片、免疫组化切片。</w:t>
      </w:r>
    </w:p>
    <w:p w14:paraId="676E725D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13.3多层扫描设置，包括扫描层数（1-15层），偏移方向（偏上扫描、不偏移、偏下扫描）。</w:t>
      </w:r>
    </w:p>
    <w:p w14:paraId="1837DAD2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13.4缩略图方向选择（旋转180°和镜像）。</w:t>
      </w:r>
    </w:p>
    <w:p w14:paraId="1F978FEC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 xml:space="preserve">13.5扫描初始对焦高度重置；对焦密度设置（对焦点较多、适中、较少）。 </w:t>
      </w:r>
    </w:p>
    <w:p w14:paraId="211596EE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13.6扫描玻片文件名称可设置更改。</w:t>
      </w:r>
    </w:p>
    <w:p w14:paraId="416B439A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13.7可以识别通用类型二维码和条形码：AII、AZTEC、CODABAR、CODE_39、CODE_93、CODE_128、DATA_MATRIX、EAN_8、ENA_13、ITF、MAIXCODE、PDF_417、QR_CODE、RSS_14、RSS_EXPANDED、UPC_A、UPC_E、UPC_EAN_EXTENSION、AII_1D、MSI、PLESSEY、IMB。</w:t>
      </w:r>
    </w:p>
    <w:p w14:paraId="2A47A01F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13.8可以存储普通图像质量和高质量图像。</w:t>
      </w:r>
    </w:p>
    <w:p w14:paraId="3F9C405E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13.9支持开仓功能；实时状态监测（当前扫描位置是哪个仓（0号、1号）、仓的状态（正在扫描、扫描完成、待扫描）、仓所拥有的玻片数目（每仓玻片数为0-20片））；停止扫描功能。</w:t>
      </w:r>
    </w:p>
    <w:p w14:paraId="3C1C179A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14数字病理阅片软件</w:t>
      </w:r>
    </w:p>
    <w:p w14:paraId="6779C575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14.1导航图支持定位并显示浏览记录。</w:t>
      </w:r>
    </w:p>
    <w:p w14:paraId="79C1DA90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14.2支持预览本地特定病理图像格式文件（sdpc、svs、scn、mrxs、dicom）；支持转换徕卡svs格式。</w:t>
      </w:r>
    </w:p>
    <w:p w14:paraId="3D44B65D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14.3工具条支持对图像标注（文本、矩形、椭圆、箭头、量尺、线条等）、撤销、截图以及保存功能。</w:t>
      </w:r>
    </w:p>
    <w:p w14:paraId="55F24EBD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14.4对预览图像进行颜色调节，包括gamma、对比度、亮度、三通道色彩（红、绿、蓝）调节；支持颜色校正（原始、真实、艳丽）。</w:t>
      </w:r>
    </w:p>
    <w:p w14:paraId="54812304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14.5全视野图像自动播放功能。</w:t>
      </w:r>
    </w:p>
    <w:p w14:paraId="7CCC84D5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14.6一键输出当前显示区域图像。</w:t>
      </w:r>
    </w:p>
    <w:p w14:paraId="7E04CC62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14.7多幅图像分页以及同步预览；全屏预览。</w:t>
      </w:r>
    </w:p>
    <w:p w14:paraId="1E996FA8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24"/>
          <w:szCs w:val="24"/>
        </w:rPr>
        <w:t>2.</w:t>
      </w:r>
      <w:r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  <w:t>14.8可通过鼠标滚轮或手动输入调节当前浏览倍数，有放大镜功能可以进行二次数字放大。</w:t>
      </w:r>
    </w:p>
    <w:p w14:paraId="35BC8784">
      <w:pPr>
        <w:adjustRightInd w:val="0"/>
        <w:snapToGrid w:val="0"/>
        <w:spacing w:line="560" w:lineRule="exact"/>
        <w:ind w:firstLine="480" w:firstLineChars="200"/>
        <w:rPr>
          <w:rFonts w:hint="default" w:ascii="Times New Roman" w:hAnsi="Times New Roman" w:eastAsia="方正仿宋_GB2312" w:cs="Times New Roman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7F366CA-ECF9-4DD5-A14E-A91301D6D9D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882CD15-1517-4295-8802-37D4376D86C1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9EB2D647-DB0E-420A-9569-E203D563316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12AE33"/>
    <w:multiLevelType w:val="singleLevel"/>
    <w:tmpl w:val="9A12AE33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39D40E5"/>
    <w:multiLevelType w:val="singleLevel"/>
    <w:tmpl w:val="239D40E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4NzhlMDQ1MzBiMWZjYWZiZDFhYjFhZThkNmUxMjg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290A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4C48"/>
    <w:rsid w:val="0029035F"/>
    <w:rsid w:val="002966A1"/>
    <w:rsid w:val="00297733"/>
    <w:rsid w:val="002A6527"/>
    <w:rsid w:val="002C25D1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61984"/>
    <w:rsid w:val="004740E5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0728D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4593"/>
    <w:rsid w:val="007A73BA"/>
    <w:rsid w:val="007C2B74"/>
    <w:rsid w:val="007D51AF"/>
    <w:rsid w:val="007E0D60"/>
    <w:rsid w:val="007E1A03"/>
    <w:rsid w:val="007E356C"/>
    <w:rsid w:val="007E3C56"/>
    <w:rsid w:val="007F3C1C"/>
    <w:rsid w:val="007F6CBF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24F2B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0EB5"/>
    <w:rsid w:val="009D4E43"/>
    <w:rsid w:val="009D4F11"/>
    <w:rsid w:val="009F2C7B"/>
    <w:rsid w:val="009F3771"/>
    <w:rsid w:val="00A07A49"/>
    <w:rsid w:val="00A15665"/>
    <w:rsid w:val="00A2341E"/>
    <w:rsid w:val="00A23699"/>
    <w:rsid w:val="00A325FB"/>
    <w:rsid w:val="00A421CC"/>
    <w:rsid w:val="00A4245B"/>
    <w:rsid w:val="00A55010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C10A42"/>
    <w:rsid w:val="00C17AEE"/>
    <w:rsid w:val="00C26419"/>
    <w:rsid w:val="00C33CC9"/>
    <w:rsid w:val="00C36D7D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75821"/>
    <w:rsid w:val="00D75B00"/>
    <w:rsid w:val="00D80224"/>
    <w:rsid w:val="00D81620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A3589"/>
    <w:rsid w:val="00FD5BF7"/>
    <w:rsid w:val="06CB196A"/>
    <w:rsid w:val="091E78D4"/>
    <w:rsid w:val="0CAF6E1C"/>
    <w:rsid w:val="114D25A5"/>
    <w:rsid w:val="17CA18DE"/>
    <w:rsid w:val="1B2550D0"/>
    <w:rsid w:val="1DCC4D4C"/>
    <w:rsid w:val="1E063A41"/>
    <w:rsid w:val="20A6370E"/>
    <w:rsid w:val="2DD32A51"/>
    <w:rsid w:val="325964BE"/>
    <w:rsid w:val="32E5177A"/>
    <w:rsid w:val="3727228C"/>
    <w:rsid w:val="3E633671"/>
    <w:rsid w:val="42A85EE1"/>
    <w:rsid w:val="44B671C3"/>
    <w:rsid w:val="453576D0"/>
    <w:rsid w:val="47136304"/>
    <w:rsid w:val="47D6229D"/>
    <w:rsid w:val="4A854A62"/>
    <w:rsid w:val="4C147878"/>
    <w:rsid w:val="51EE6736"/>
    <w:rsid w:val="560153A1"/>
    <w:rsid w:val="56C01185"/>
    <w:rsid w:val="583018FD"/>
    <w:rsid w:val="5E474D6D"/>
    <w:rsid w:val="5F6779B8"/>
    <w:rsid w:val="64D2456D"/>
    <w:rsid w:val="669B338F"/>
    <w:rsid w:val="690D37B6"/>
    <w:rsid w:val="6B753CBF"/>
    <w:rsid w:val="6CD14AEF"/>
    <w:rsid w:val="70664E1C"/>
    <w:rsid w:val="71AF3EDA"/>
    <w:rsid w:val="74706C32"/>
    <w:rsid w:val="765B19D5"/>
    <w:rsid w:val="790E45FA"/>
    <w:rsid w:val="7AC21E17"/>
    <w:rsid w:val="7ADB6558"/>
    <w:rsid w:val="7BB83A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9"/>
    <w:unhideWhenUsed/>
    <w:qFormat/>
    <w:uiPriority w:val="99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Plain Text"/>
    <w:basedOn w:val="1"/>
    <w:link w:val="28"/>
    <w:qFormat/>
    <w:uiPriority w:val="0"/>
    <w:rPr>
      <w:rFonts w:ascii="宋体" w:cs="Courier New"/>
      <w:szCs w:val="21"/>
    </w:rPr>
  </w:style>
  <w:style w:type="paragraph" w:styleId="7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1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2">
    <w:name w:val="annotation subject"/>
    <w:basedOn w:val="3"/>
    <w:next w:val="3"/>
    <w:link w:val="30"/>
    <w:semiHidden/>
    <w:unhideWhenUsed/>
    <w:qFormat/>
    <w:uiPriority w:val="99"/>
    <w:rPr>
      <w:b/>
      <w:bCs/>
    </w:rPr>
  </w:style>
  <w:style w:type="paragraph" w:styleId="13">
    <w:name w:val="Body Text First Indent 2"/>
    <w:basedOn w:val="5"/>
    <w:unhideWhenUsed/>
    <w:qFormat/>
    <w:uiPriority w:val="99"/>
    <w:pPr>
      <w:ind w:firstLine="420" w:firstLineChars="200"/>
    </w:pPr>
  </w:style>
  <w:style w:type="character" w:styleId="16">
    <w:name w:val="annotation reference"/>
    <w:basedOn w:val="15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字符"/>
    <w:basedOn w:val="15"/>
    <w:link w:val="9"/>
    <w:qFormat/>
    <w:uiPriority w:val="99"/>
    <w:rPr>
      <w:sz w:val="18"/>
      <w:szCs w:val="18"/>
    </w:rPr>
  </w:style>
  <w:style w:type="character" w:customStyle="1" w:styleId="19">
    <w:name w:val="页脚 字符"/>
    <w:basedOn w:val="15"/>
    <w:link w:val="8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字符"/>
    <w:link w:val="10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5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5"/>
    <w:semiHidden/>
    <w:qFormat/>
    <w:uiPriority w:val="99"/>
    <w:rPr>
      <w:color w:val="808080"/>
    </w:rPr>
  </w:style>
  <w:style w:type="character" w:customStyle="1" w:styleId="26">
    <w:name w:val="列表段落 字符"/>
    <w:link w:val="17"/>
    <w:qFormat/>
    <w:uiPriority w:val="1"/>
  </w:style>
  <w:style w:type="character" w:customStyle="1" w:styleId="27">
    <w:name w:val="批注框文本 字符"/>
    <w:basedOn w:val="15"/>
    <w:link w:val="7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  <w:style w:type="character" w:customStyle="1" w:styleId="28">
    <w:name w:val="纯文本 字符"/>
    <w:basedOn w:val="15"/>
    <w:link w:val="6"/>
    <w:qFormat/>
    <w:uiPriority w:val="0"/>
    <w:rPr>
      <w:rFonts w:ascii="宋体" w:cs="Courier New" w:hAnsiTheme="minorHAnsi" w:eastAsiaTheme="minorEastAsia"/>
      <w:kern w:val="2"/>
      <w:sz w:val="21"/>
      <w:szCs w:val="21"/>
    </w:rPr>
  </w:style>
  <w:style w:type="character" w:customStyle="1" w:styleId="29">
    <w:name w:val="批注文字 字符"/>
    <w:basedOn w:val="15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30">
    <w:name w:val="批注主题 字符"/>
    <w:basedOn w:val="29"/>
    <w:link w:val="12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31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36EEB-29EB-4438-A1DD-7BFE4EBA4A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1229</Words>
  <Characters>1647</Characters>
  <Lines>45</Lines>
  <Paragraphs>12</Paragraphs>
  <TotalTime>10</TotalTime>
  <ScaleCrop>false</ScaleCrop>
  <LinksUpToDate>false</LinksUpToDate>
  <CharactersWithSpaces>1651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2025-11-11T07:08:34Z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E055A3C50A264397AF95DE4160196A89_13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