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66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eastAsia" w:ascii="Times New Roman" w:hAnsi="Times New Roman" w:eastAsia="宋体" w:cs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  <w:lang w:val="en-US" w:eastAsia="zh-CN"/>
        </w:rPr>
        <w:t>中南大学电子信息学院</w:t>
      </w:r>
    </w:p>
    <w:p w14:paraId="23C07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eastAsia="宋体" w:cs="Times New Roman"/>
          <w:b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  <w:lang w:val="en-US" w:eastAsia="zh-CN"/>
        </w:rPr>
        <w:t>射频实训系统项目采购</w:t>
      </w:r>
      <w:r>
        <w:rPr>
          <w:rFonts w:ascii="Times New Roman" w:hAnsi="Times New Roman" w:eastAsia="宋体" w:cs="Times New Roman"/>
          <w:b/>
          <w:sz w:val="28"/>
          <w:szCs w:val="28"/>
        </w:rPr>
        <w:t>技术参数</w:t>
      </w:r>
    </w:p>
    <w:p w14:paraId="5CC657C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default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"/>
        </w:rPr>
        <w:t>一.射频实训设备</w:t>
      </w:r>
    </w:p>
    <w:p w14:paraId="19B19E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  <w:t>1.系统配置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val="en-US" w:eastAsia="zh-CN" w:bidi="ar"/>
        </w:rPr>
        <w:t>要求</w:t>
      </w:r>
    </w:p>
    <w:p w14:paraId="2DB285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1.1 主机：软件内嵌式电磁波收发测试控制主机系统</w:t>
      </w:r>
    </w:p>
    <w:p w14:paraId="154B99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2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无源发光电磁波感应器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：</w:t>
      </w:r>
      <w:r>
        <w:rPr>
          <w:rFonts w:hint="eastAsia" w:ascii="宋体" w:hAnsi="宋体" w:eastAsia="宋体" w:cs="宋体"/>
          <w:color w:val="000000"/>
          <w:sz w:val="22"/>
          <w:szCs w:val="22"/>
        </w:rPr>
        <w:t>发光感应灵敏度：10mw；自检波发光接收天线标准件：规格 3cm～17cm；</w:t>
      </w:r>
    </w:p>
    <w:p w14:paraId="75DA37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3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电磁波信号检波输入装置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：</w:t>
      </w:r>
      <w:r>
        <w:rPr>
          <w:rFonts w:hint="eastAsia" w:ascii="宋体" w:hAnsi="宋体" w:eastAsia="宋体" w:cs="宋体"/>
          <w:color w:val="000000"/>
          <w:sz w:val="22"/>
          <w:szCs w:val="22"/>
        </w:rPr>
        <w:t>检波范围 100MHz～4G ；</w:t>
      </w:r>
    </w:p>
    <w:p w14:paraId="12AA7C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实验轨架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：</w:t>
      </w:r>
      <w:r>
        <w:rPr>
          <w:rFonts w:hint="eastAsia" w:ascii="宋体" w:hAnsi="宋体" w:eastAsia="宋体" w:cs="宋体"/>
          <w:color w:val="000000"/>
          <w:sz w:val="22"/>
          <w:szCs w:val="22"/>
        </w:rPr>
        <w:t>行程：≤1000mm；标尺精度：1mm；滑块组：双轴心四滚轮滑块组；</w:t>
      </w:r>
    </w:p>
    <w:p w14:paraId="337522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5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发射组件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：</w:t>
      </w:r>
      <w:r>
        <w:rPr>
          <w:rFonts w:hint="eastAsia" w:ascii="宋体" w:hAnsi="宋体" w:eastAsia="宋体" w:cs="宋体"/>
          <w:color w:val="000000"/>
          <w:sz w:val="22"/>
          <w:szCs w:val="22"/>
        </w:rPr>
        <w:t>一体化多频段四极化微带发射天线：覆盖垂直极化、水平计划、左旋圆极化、右旋圆极化； 增益：6dB ；</w:t>
      </w:r>
    </w:p>
    <w:p w14:paraId="060E12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6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反射组件</w:t>
      </w:r>
    </w:p>
    <w:p w14:paraId="6626E5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7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云台组件</w:t>
      </w:r>
    </w:p>
    <w:p w14:paraId="17F49D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8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可重构四极化宽带天线</w:t>
      </w:r>
    </w:p>
    <w:p w14:paraId="3ED844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9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定向天线实验组件</w:t>
      </w:r>
    </w:p>
    <w:p w14:paraId="47976B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</w:pPr>
    </w:p>
    <w:p w14:paraId="72A77A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  <w:t>2.详细技术要求</w:t>
      </w:r>
    </w:p>
    <w:p w14:paraId="3C8F49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2.1工作频率范围：300MHz-4.4GHz</w:t>
      </w:r>
      <w:r>
        <w:rPr>
          <w:rFonts w:hint="eastAsia" w:ascii="宋体" w:hAnsi="宋体" w:eastAsia="宋体" w:cs="宋体"/>
          <w:color w:val="000000"/>
          <w:szCs w:val="21"/>
        </w:rPr>
        <w:t>，步进调整：1MHz。</w:t>
      </w:r>
    </w:p>
    <w:p w14:paraId="739B160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2.2额定发射功率：≥30dBm</w:t>
      </w:r>
    </w:p>
    <w:p w14:paraId="6AB558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2.3电磁波极化：发射天线极化可重构，包括垂直线极化、水平线极化、左旋圆极化、右旋圆极化</w:t>
      </w:r>
    </w:p>
    <w:p w14:paraId="2200C4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2.4电磁波感应灵敏度：≤10mw</w:t>
      </w:r>
    </w:p>
    <w:p w14:paraId="4D5814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2.5实验行程： 1000mm</w:t>
      </w:r>
    </w:p>
    <w:p w14:paraId="4E7B8A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2.6天线测试云台：三维云台，方位面360°范围可调，调整步进1°，俯仰面360°范围可调，调整步进2.5°。</w:t>
      </w:r>
    </w:p>
    <w:p w14:paraId="114827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2.7射频接口：SMA；N型；USB3.0×2</w:t>
      </w:r>
    </w:p>
    <w:p w14:paraId="76D0CD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2.8显示：≥10.2吋；分辨率：≥1366*768</w:t>
      </w:r>
    </w:p>
    <w:p w14:paraId="4B5044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</w:pPr>
    </w:p>
    <w:p w14:paraId="6CE4DE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highlight w:val="none"/>
          <w:lang w:bidi="ar"/>
        </w:rPr>
        <w:t>3.功能要求</w:t>
      </w:r>
    </w:p>
    <w:p w14:paraId="46CAEB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3.1空间电磁波特性实验功能</w:t>
      </w:r>
    </w:p>
    <w:p w14:paraId="2BFB51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FF0000"/>
          <w:kern w:val="0"/>
          <w:sz w:val="22"/>
          <w:szCs w:val="22"/>
          <w:highlight w:val="none"/>
          <w:lang w:bidi="ar"/>
        </w:rPr>
        <w:t>3.1.1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实验平台</w:t>
      </w:r>
    </w:p>
    <w:p w14:paraId="01A84D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实验平台具有实验架轨，实验架轨上具有多个空间位置可连续改变的滑块模组。滑块模组上可安装发射组件、接收组件、电磁波反射组件、天线测试云台组件等。实验中，通过灵活改变滑块的空间位置组合关系，进行电磁波收发实验。</w:t>
      </w:r>
    </w:p>
    <w:p w14:paraId="37F9CB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3.1.2云台组件</w:t>
      </w:r>
    </w:p>
    <w:p w14:paraId="02C7E0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云台组件具有以方位面全向连续可调，以及俯仰面360度连续可调的的功能。实验中，可通过改变收发天线的相对姿态，进行电磁波极化特性实验与天线方向性测试实验。</w:t>
      </w:r>
    </w:p>
    <w:p w14:paraId="105ADE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3.2知识感知化教学功能</w:t>
      </w:r>
    </w:p>
    <w:p w14:paraId="183B6B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3.2.1电磁波感应发光显示功能</w:t>
      </w:r>
    </w:p>
    <w:p w14:paraId="1EE783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以无源发光电磁波感应器，接收空间电磁波，并以光亮程度指示和反应不同位置的电场强度，具有形象化直观显示空间电磁波分布规律的功能。</w:t>
      </w:r>
    </w:p>
    <w:p w14:paraId="146F23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3.3示范实验视频</w:t>
      </w:r>
    </w:p>
    <w:p w14:paraId="2EE46B9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实训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系统显示屏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里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应具有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至少6个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典型实验的实验教学示范性实验视频资源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。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并提供“电磁波传播特性实验”以及“引向天线实验”的实验演示视频。</w:t>
      </w:r>
    </w:p>
    <w:p w14:paraId="3A7B034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default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</w:p>
    <w:p w14:paraId="7DC0F6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default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"/>
        </w:rPr>
        <w:t>二.射频实训教学软件</w:t>
      </w:r>
    </w:p>
    <w:p w14:paraId="39C854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sz w:val="22"/>
          <w:szCs w:val="22"/>
        </w:rPr>
        <w:t>1.实验操控应用软件系统</w:t>
      </w:r>
      <w:r>
        <w:rPr>
          <w:rFonts w:hint="eastAsia" w:ascii="宋体" w:hAnsi="宋体" w:eastAsia="宋体" w:cs="宋体"/>
          <w:bCs/>
          <w:sz w:val="22"/>
          <w:szCs w:val="22"/>
        </w:rPr>
        <w:t>：配套</w:t>
      </w:r>
      <w:r>
        <w:rPr>
          <w:rFonts w:hint="eastAsia" w:ascii="宋体" w:hAnsi="宋体" w:eastAsia="宋体" w:cs="宋体"/>
          <w:bCs/>
          <w:sz w:val="22"/>
          <w:szCs w:val="22"/>
          <w:lang w:val="en-US" w:eastAsia="zh-CN"/>
        </w:rPr>
        <w:t>实训</w:t>
      </w:r>
      <w:r>
        <w:rPr>
          <w:rFonts w:hint="eastAsia" w:ascii="宋体" w:hAnsi="宋体" w:eastAsia="宋体" w:cs="宋体"/>
          <w:bCs/>
          <w:sz w:val="22"/>
          <w:szCs w:val="22"/>
        </w:rPr>
        <w:t>教学系统软件，支持电磁波传播实验、天线实验、微波测量实验、电磁兼容实验；</w:t>
      </w:r>
    </w:p>
    <w:p w14:paraId="716986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1.1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知识点图形图像会意显示功能</w:t>
      </w:r>
    </w:p>
    <w:p w14:paraId="4C30E0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能利用实验系统中的显示屏，将知识点内容以图形图像的方式形象展示在屏幕上。</w:t>
      </w:r>
    </w:p>
    <w:p w14:paraId="24330C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1.2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知识互动学习功能</w:t>
      </w:r>
    </w:p>
    <w:p w14:paraId="19D882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能通过调整反应知识点内容数学公式中的参数变量，以图形图像方式，在屏幕上看见知识点内涵内容。</w:t>
      </w:r>
    </w:p>
    <w:p w14:paraId="424FAA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1.3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感性与理性融合的知识学习功能</w:t>
      </w:r>
    </w:p>
    <w:p w14:paraId="086F70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实验项目的设计，应体现辅助课程知识重点与难点问题学习的需要，且各实验项目反应的知识点应在实验中明确表述。知识点内容、反应知识点的理性分析数学公式，以及反应知识点内涵的形象化图形图像，应在实验系统屏幕上以三位一体的方式显示在同一界面上，以利理性分析与感性认知相融合的知识学习。</w:t>
      </w:r>
    </w:p>
    <w:p w14:paraId="05C355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</w:p>
    <w:p w14:paraId="5C0416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b/>
          <w:bCs w:val="0"/>
          <w:sz w:val="22"/>
          <w:szCs w:val="22"/>
        </w:rPr>
      </w:pPr>
      <w:r>
        <w:rPr>
          <w:rFonts w:hint="eastAsia" w:ascii="宋体" w:hAnsi="宋体" w:eastAsia="宋体" w:cs="宋体"/>
          <w:b/>
          <w:bCs w:val="0"/>
          <w:sz w:val="22"/>
          <w:szCs w:val="22"/>
          <w:lang w:val="en-US" w:eastAsia="zh-CN"/>
        </w:rPr>
        <w:t>2.</w:t>
      </w:r>
      <w:r>
        <w:rPr>
          <w:rFonts w:hint="eastAsia" w:ascii="宋体" w:hAnsi="宋体" w:eastAsia="宋体" w:cs="宋体"/>
          <w:b/>
          <w:bCs w:val="0"/>
          <w:sz w:val="22"/>
          <w:szCs w:val="22"/>
        </w:rPr>
        <w:t>软件功能</w:t>
      </w:r>
    </w:p>
    <w:p w14:paraId="1BDF3C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1实验数据存储处理与利用</w:t>
      </w:r>
    </w:p>
    <w:p w14:paraId="47CC3C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软件应能自动存储实验过程及结果数据，并能自动处理数据，且以图形图像的方式在实验平台屏幕上，以知识会意的形式形象化显示知识内涵。</w:t>
      </w:r>
    </w:p>
    <w:p w14:paraId="61E2A0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2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.2实验模块</w:t>
      </w:r>
    </w:p>
    <w:p w14:paraId="7A3DB8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2.1认知电磁波实验模块</w:t>
      </w:r>
    </w:p>
    <w:p w14:paraId="5CEFB9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(1)该模块包含的知识点内容，应包括：电磁波波长、频率、周期、波数、振幅、相位、空间相位、时间相位、初相、电场矢量、磁场矢量、波矢量，以及它们之间关系的知识内容。</w:t>
      </w:r>
    </w:p>
    <w:p w14:paraId="5D0627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(2)该模块的软件界面表现方式，应体现知识的感性学习与理性学习相融合的特点，即反映知识点的知识内容、数学公式、图形图像应三位一体的在同一界面上展示。</w:t>
      </w:r>
    </w:p>
    <w:p w14:paraId="14FE8A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(3)该模块的软件操作方式，应体现知识感性学习与理性学习的融合互动性，即，通过改变数学公式中的不同参变量，可通过图形和图像同步看见知识内容的相应体现。</w:t>
      </w:r>
    </w:p>
    <w:p w14:paraId="6F2B76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2.2认识场矢量实验模块</w:t>
      </w:r>
    </w:p>
    <w:p w14:paraId="4ACD41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该模块软件应能结合实验操作，将实验过程数据实时以图形和图像的方式，在屏幕上再现场矢量的大小和方向特征。</w:t>
      </w:r>
    </w:p>
    <w:p w14:paraId="2FE0A2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2.3辐射特性实验模块</w:t>
      </w:r>
    </w:p>
    <w:p w14:paraId="620D92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(1)该软件模块应包含的知识点包括：电场矢量、磁场矢量、波矢量，以及三者之间关系的知识内容。</w:t>
      </w:r>
    </w:p>
    <w:p w14:paraId="789913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(2)该软件模块应能结合实验操作，将实验过程数据实时以图形和图像的方式，在屏幕上绘制出电磁波近远场辐射的空间衰减规律曲线。</w:t>
      </w:r>
    </w:p>
    <w:p w14:paraId="248C89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2.4极化特性实验模块</w:t>
      </w:r>
    </w:p>
    <w:p w14:paraId="2C67ED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(1)该模块包含的知识内容，应包括：电磁波极化、电磁波的各种极化形式、极化的椭圆方程、极化轴比等。</w:t>
      </w:r>
    </w:p>
    <w:p w14:paraId="297AD3B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(2)该模块的软件界面表现方式，应体现知识的感性学习与理性学习相融合的特点，即反映知识点的知识内容、数学公式、图形图像应三位一体的在同一界面上展示。</w:t>
      </w:r>
    </w:p>
    <w:p w14:paraId="5B58AA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FF0000"/>
          <w:kern w:val="0"/>
          <w:sz w:val="22"/>
          <w:szCs w:val="22"/>
          <w:highlight w:val="none"/>
          <w:lang w:bidi="ar"/>
        </w:rPr>
        <w:t>(3)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该模块的软件操作方式，应体现知识感性学习与理性学习的融合互动性，即通过改变数学公式中的不同参变量，可通过图形和图像同步看见知识内容的相应体现。</w:t>
      </w:r>
    </w:p>
    <w:p w14:paraId="0F1BF5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(4)该软件模块应能结合实验操作，将实验过程数据实时以图形和图像的方式，在屏幕上绘制并显示出极化椭圆曲线以及相应电磁波极化特性。</w:t>
      </w:r>
    </w:p>
    <w:p w14:paraId="391314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(5)该模块应具有图像动态仿真各种极化电磁波空间传播的方式、特性和特征的功能。</w:t>
      </w:r>
    </w:p>
    <w:p w14:paraId="1D940E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2.5天线测试实验模块</w:t>
      </w:r>
    </w:p>
    <w:p w14:paraId="26732E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(1)该模块包含的知识内容，应包括：天线增益、天线效率、方向性、方向图、主瓣、副瓣、波瓣宽度、H面、E面、前后比等。</w:t>
      </w:r>
    </w:p>
    <w:p w14:paraId="657213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(2)该模块的软件操作方式，应体现知识感性学习与理性学习的融合互动性，即，通过改变反应相关天线特性数学公式中的不同参变量，可以图形和图像的方式同步看见知识内容的相应体现。</w:t>
      </w:r>
    </w:p>
    <w:p w14:paraId="6C9E65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(3)该软件模块应能结合实验操作，将实验过程数据实时以图形和图像的方式，在屏幕上绘制并图示化形象显示出方向图等知识点内容。</w:t>
      </w:r>
    </w:p>
    <w:p w14:paraId="45FB4AC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</w:p>
    <w:p w14:paraId="0C81513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 w:val="0"/>
          <w:sz w:val="22"/>
          <w:szCs w:val="22"/>
          <w:lang w:val="en-US" w:eastAsia="zh-CN"/>
        </w:rPr>
        <w:t>3.实验教学系统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2"/>
          <w:szCs w:val="22"/>
          <w:highlight w:val="none"/>
          <w:lang w:val="en-US" w:eastAsia="zh-CN" w:bidi="ar"/>
        </w:rPr>
        <w:t>（投标时需提供满足以下全部软件功能的演示视频）</w:t>
      </w:r>
    </w:p>
    <w:p w14:paraId="3044139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FF0000"/>
          <w:kern w:val="0"/>
          <w:sz w:val="22"/>
          <w:szCs w:val="22"/>
          <w:highlight w:val="none"/>
          <w:lang w:val="en-US" w:eastAsia="zh-CN" w:bidi="ar"/>
        </w:rPr>
        <w:t>3.1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支持手机端实验室、设备预约及审核，实验项目发布、选课预约，辅助排课（需提供手机端预约实验室和预约实验项目截图证明材料）；</w:t>
      </w:r>
    </w:p>
    <w:p w14:paraId="48269F87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3.2 提供在线学习、视频观看、在线答题功能，自动记录学习过程并生成成绩；</w:t>
      </w:r>
    </w:p>
    <w:p w14:paraId="552A19F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3.3支持实验报告模板上传下载、在线填写提交及批阅（提供功能截图证明材料）；</w:t>
      </w:r>
    </w:p>
    <w:p w14:paraId="20D118B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3.4支持在线实验考试（人工/自动组卷）、答题提交、批阅及成绩统计查询（提供功能截图证明材料）；</w:t>
      </w:r>
    </w:p>
    <w:p w14:paraId="273189B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color w:val="FF0000"/>
          <w:kern w:val="0"/>
          <w:sz w:val="22"/>
          <w:szCs w:val="22"/>
          <w:highlight w:val="none"/>
          <w:lang w:val="en-US" w:eastAsia="zh-CN" w:bidi="ar"/>
        </w:rPr>
        <w:t>3.5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网络版架构，用户数量无限制；</w:t>
      </w:r>
    </w:p>
    <w:p w14:paraId="2721970C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0" w:firstLineChars="0"/>
        <w:rPr>
          <w:rFonts w:hint="eastAsia" w:ascii="宋体" w:hAnsi="宋体" w:eastAsia="宋体" w:cs="宋体"/>
          <w:sz w:val="21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F85"/>
    <w:rsid w:val="00024E87"/>
    <w:rsid w:val="00094EFE"/>
    <w:rsid w:val="000D21D9"/>
    <w:rsid w:val="00111CA8"/>
    <w:rsid w:val="00140A77"/>
    <w:rsid w:val="00146CBA"/>
    <w:rsid w:val="001934DB"/>
    <w:rsid w:val="001E3CFA"/>
    <w:rsid w:val="001E502D"/>
    <w:rsid w:val="002413B4"/>
    <w:rsid w:val="002D5342"/>
    <w:rsid w:val="00350E78"/>
    <w:rsid w:val="003C600A"/>
    <w:rsid w:val="003D5303"/>
    <w:rsid w:val="003F6AD6"/>
    <w:rsid w:val="00421139"/>
    <w:rsid w:val="00455629"/>
    <w:rsid w:val="00560CE3"/>
    <w:rsid w:val="00591E0E"/>
    <w:rsid w:val="00617215"/>
    <w:rsid w:val="00622316"/>
    <w:rsid w:val="00666573"/>
    <w:rsid w:val="00667B4A"/>
    <w:rsid w:val="006941BF"/>
    <w:rsid w:val="006A50FD"/>
    <w:rsid w:val="006B05F9"/>
    <w:rsid w:val="00717631"/>
    <w:rsid w:val="008039B8"/>
    <w:rsid w:val="00822482"/>
    <w:rsid w:val="00844833"/>
    <w:rsid w:val="008E5059"/>
    <w:rsid w:val="00932C99"/>
    <w:rsid w:val="00950F02"/>
    <w:rsid w:val="00986275"/>
    <w:rsid w:val="00A71076"/>
    <w:rsid w:val="00AA0DDC"/>
    <w:rsid w:val="00AD192B"/>
    <w:rsid w:val="00AF724A"/>
    <w:rsid w:val="00B0404A"/>
    <w:rsid w:val="00B506EE"/>
    <w:rsid w:val="00B765E3"/>
    <w:rsid w:val="00B86CED"/>
    <w:rsid w:val="00BC4BE1"/>
    <w:rsid w:val="00BD1751"/>
    <w:rsid w:val="00BE0F85"/>
    <w:rsid w:val="00BF31D1"/>
    <w:rsid w:val="00C1787D"/>
    <w:rsid w:val="00C263DE"/>
    <w:rsid w:val="00C4282E"/>
    <w:rsid w:val="00CD4951"/>
    <w:rsid w:val="00D07429"/>
    <w:rsid w:val="00D47EC9"/>
    <w:rsid w:val="00D628E9"/>
    <w:rsid w:val="00D72424"/>
    <w:rsid w:val="00DC24F8"/>
    <w:rsid w:val="00DC3E21"/>
    <w:rsid w:val="00DE058E"/>
    <w:rsid w:val="00E32295"/>
    <w:rsid w:val="00E3295F"/>
    <w:rsid w:val="00E77388"/>
    <w:rsid w:val="00ED4FDE"/>
    <w:rsid w:val="00F05122"/>
    <w:rsid w:val="00F2704D"/>
    <w:rsid w:val="00F54A0A"/>
    <w:rsid w:val="00F60980"/>
    <w:rsid w:val="00FD081A"/>
    <w:rsid w:val="00FF19EF"/>
    <w:rsid w:val="00FF605C"/>
    <w:rsid w:val="048320DB"/>
    <w:rsid w:val="0AE71698"/>
    <w:rsid w:val="0D717911"/>
    <w:rsid w:val="0EE75543"/>
    <w:rsid w:val="0FC30211"/>
    <w:rsid w:val="108F68F7"/>
    <w:rsid w:val="10B3406B"/>
    <w:rsid w:val="11CC697F"/>
    <w:rsid w:val="12F053A2"/>
    <w:rsid w:val="132F06F4"/>
    <w:rsid w:val="13E30A1F"/>
    <w:rsid w:val="18591C1C"/>
    <w:rsid w:val="19A763DF"/>
    <w:rsid w:val="1C6F6514"/>
    <w:rsid w:val="24003A9F"/>
    <w:rsid w:val="24AF5C78"/>
    <w:rsid w:val="286B3E9F"/>
    <w:rsid w:val="2ADA24E5"/>
    <w:rsid w:val="2B997A9A"/>
    <w:rsid w:val="2CDC14AB"/>
    <w:rsid w:val="35297D73"/>
    <w:rsid w:val="3541380F"/>
    <w:rsid w:val="35E97987"/>
    <w:rsid w:val="36726D5A"/>
    <w:rsid w:val="368340BC"/>
    <w:rsid w:val="38495C2D"/>
    <w:rsid w:val="38DB38F8"/>
    <w:rsid w:val="3B8E5645"/>
    <w:rsid w:val="40217952"/>
    <w:rsid w:val="40633332"/>
    <w:rsid w:val="41643658"/>
    <w:rsid w:val="454D6620"/>
    <w:rsid w:val="475047F2"/>
    <w:rsid w:val="49700178"/>
    <w:rsid w:val="4CF06A1A"/>
    <w:rsid w:val="4E2921A8"/>
    <w:rsid w:val="519D16AB"/>
    <w:rsid w:val="54F71CD3"/>
    <w:rsid w:val="568C48A5"/>
    <w:rsid w:val="59CE6F2B"/>
    <w:rsid w:val="59D93E6F"/>
    <w:rsid w:val="5B936DED"/>
    <w:rsid w:val="5CB0535B"/>
    <w:rsid w:val="60E5773E"/>
    <w:rsid w:val="60F93CB5"/>
    <w:rsid w:val="613369F1"/>
    <w:rsid w:val="668F32F8"/>
    <w:rsid w:val="6A8F2898"/>
    <w:rsid w:val="6AD20C96"/>
    <w:rsid w:val="6CC46724"/>
    <w:rsid w:val="6EDD102F"/>
    <w:rsid w:val="770518F3"/>
    <w:rsid w:val="7966703D"/>
    <w:rsid w:val="79EF6E22"/>
    <w:rsid w:val="7BB84214"/>
    <w:rsid w:val="7DD2361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rPr>
      <w:sz w:val="24"/>
    </w:rPr>
  </w:style>
  <w:style w:type="paragraph" w:styleId="8">
    <w:name w:val="Body Text First Indent"/>
    <w:basedOn w:val="3"/>
    <w:unhideWhenUsed/>
    <w:qFormat/>
    <w:uiPriority w:val="99"/>
    <w:pPr>
      <w:ind w:firstLine="420" w:firstLineChars="100"/>
    </w:pPr>
  </w:style>
  <w:style w:type="character" w:styleId="11">
    <w:name w:val="annotation reference"/>
    <w:basedOn w:val="10"/>
    <w:semiHidden/>
    <w:unhideWhenUsed/>
    <w:qFormat/>
    <w:uiPriority w:val="99"/>
    <w:rPr>
      <w:sz w:val="16"/>
      <w:szCs w:val="16"/>
    </w:rPr>
  </w:style>
  <w:style w:type="paragraph" w:customStyle="1" w:styleId="12">
    <w:name w:val="列出段落1"/>
    <w:basedOn w:val="13"/>
    <w:qFormat/>
    <w:uiPriority w:val="0"/>
    <w:pPr>
      <w:widowControl/>
      <w:spacing w:line="300" w:lineRule="auto"/>
      <w:ind w:firstLine="420" w:firstLineChars="200"/>
    </w:pPr>
    <w:rPr>
      <w:rFonts w:ascii="Arial" w:hAnsi="Arial" w:eastAsia="宋体" w:cs="Times New Roman"/>
      <w:kern w:val="0"/>
      <w:sz w:val="18"/>
      <w:szCs w:val="20"/>
    </w:rPr>
  </w:style>
  <w:style w:type="paragraph" w:customStyle="1" w:styleId="13">
    <w:name w:val="正文_10_4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15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5"/>
    <w:qFormat/>
    <w:uiPriority w:val="99"/>
    <w:rPr>
      <w:sz w:val="18"/>
      <w:szCs w:val="18"/>
    </w:rPr>
  </w:style>
  <w:style w:type="paragraph" w:customStyle="1" w:styleId="17">
    <w:name w:val="商发正文"/>
    <w:qFormat/>
    <w:locked/>
    <w:uiPriority w:val="5"/>
    <w:pPr>
      <w:widowControl w:val="0"/>
      <w:adjustRightInd w:val="0"/>
      <w:snapToGrid w:val="0"/>
      <w:spacing w:after="160" w:line="300" w:lineRule="auto"/>
      <w:ind w:firstLine="200" w:firstLineChars="200"/>
      <w:jc w:val="both"/>
    </w:pPr>
    <w:rPr>
      <w:rFonts w:ascii="Times New Roman" w:hAnsi="Times New Roman" w:eastAsia="宋体" w:cs="Times New Roman"/>
      <w:color w:val="000000"/>
      <w:kern w:val="2"/>
      <w:sz w:val="24"/>
      <w:szCs w:val="21"/>
      <w:lang w:val="en-US" w:eastAsia="zh-CN" w:bidi="ar-SA"/>
    </w:rPr>
  </w:style>
  <w:style w:type="character" w:customStyle="1" w:styleId="18">
    <w:name w:val="批注框文本 字符"/>
    <w:basedOn w:val="10"/>
    <w:link w:val="4"/>
    <w:semiHidden/>
    <w:qFormat/>
    <w:uiPriority w:val="99"/>
    <w:rPr>
      <w:rFonts w:ascii="Segoe UI" w:hAnsi="Segoe UI" w:cs="Segoe UI" w:eastAsiaTheme="minorEastAsia"/>
      <w:kern w:val="2"/>
      <w:sz w:val="18"/>
      <w:szCs w:val="18"/>
    </w:rPr>
  </w:style>
  <w:style w:type="character" w:customStyle="1" w:styleId="19">
    <w:name w:val="NormalCharacter"/>
    <w:qFormat/>
    <w:uiPriority w:val="0"/>
  </w:style>
  <w:style w:type="paragraph" w:customStyle="1" w:styleId="20">
    <w:name w:val="msolist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mbria" w:hAnsi="Cambria" w:eastAsia="宋体" w:cs="Times New Roman"/>
      <w:kern w:val="2"/>
      <w:sz w:val="24"/>
      <w:szCs w:val="24"/>
      <w:lang w:val="en-US" w:eastAsia="zh-CN" w:bidi="ar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font21"/>
    <w:basedOn w:val="10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23">
    <w:name w:val="font31"/>
    <w:basedOn w:val="10"/>
    <w:qFormat/>
    <w:uiPriority w:val="0"/>
    <w:rPr>
      <w:rFonts w:hint="eastAsia" w:ascii="仿宋" w:hAnsi="仿宋" w:eastAsia="仿宋" w:cs="仿宋"/>
      <w:b/>
      <w:bCs/>
      <w:color w:val="FF0000"/>
      <w:sz w:val="21"/>
      <w:szCs w:val="21"/>
      <w:u w:val="none"/>
    </w:rPr>
  </w:style>
  <w:style w:type="paragraph" w:customStyle="1" w:styleId="24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" w:hAnsi="Calibri" w:eastAsia="宋体." w:cs="宋体.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2311</Words>
  <Characters>2510</Characters>
  <Lines>1</Lines>
  <Paragraphs>1</Paragraphs>
  <TotalTime>4</TotalTime>
  <ScaleCrop>false</ScaleCrop>
  <LinksUpToDate>false</LinksUpToDate>
  <CharactersWithSpaces>2518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2020-01-06T07:51:00Z</dcterms:created>
  <dc:creator>素平 潘</dc:creator>
  <cp:lastModifiedBy>张帅磊</cp:lastModifiedBy>
  <dcterms:modified xsi:type="dcterms:W3CDTF">2026-06-11T07:04:46Z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6CAE49D84B8546A89CE5F219F0EBF382_13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