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76712A">
      <w:pPr>
        <w:pStyle w:val="3"/>
        <w:jc w:val="center"/>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t>技术参数</w:t>
      </w:r>
    </w:p>
    <w:p w14:paraId="082F44BE">
      <w:pPr>
        <w:pStyle w:val="34"/>
        <w:numPr>
          <w:ilvl w:val="0"/>
          <w:numId w:val="1"/>
        </w:numPr>
        <w:tabs>
          <w:tab w:val="left" w:pos="0"/>
          <w:tab w:val="left" w:pos="567"/>
        </w:tabs>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设备名称：多级电解分离装置</w:t>
      </w:r>
    </w:p>
    <w:p w14:paraId="1A0EAF3F">
      <w:pPr>
        <w:pStyle w:val="34"/>
        <w:numPr>
          <w:ilvl w:val="0"/>
          <w:numId w:val="1"/>
        </w:numPr>
        <w:tabs>
          <w:tab w:val="left" w:pos="0"/>
          <w:tab w:val="left" w:pos="567"/>
        </w:tabs>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数量： 5套</w:t>
      </w:r>
    </w:p>
    <w:p w14:paraId="435C36E0">
      <w:pPr>
        <w:pStyle w:val="34"/>
        <w:numPr>
          <w:ilvl w:val="0"/>
          <w:numId w:val="1"/>
        </w:numPr>
        <w:tabs>
          <w:tab w:val="left" w:pos="0"/>
          <w:tab w:val="left" w:pos="567"/>
        </w:tabs>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用途、功能及参数要求</w:t>
      </w:r>
    </w:p>
    <w:p w14:paraId="689418C3">
      <w:pPr>
        <w:pStyle w:val="34"/>
        <w:tabs>
          <w:tab w:val="left" w:pos="0"/>
          <w:tab w:val="left" w:pos="567"/>
        </w:tabs>
        <w:spacing w:line="360" w:lineRule="auto"/>
        <w:ind w:left="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1、用途要求</w:t>
      </w:r>
    </w:p>
    <w:p w14:paraId="6151E432">
      <w:pPr>
        <w:pStyle w:val="34"/>
        <w:spacing w:line="360" w:lineRule="auto"/>
        <w:ind w:left="480"/>
        <w:rPr>
          <w:rFonts w:ascii="Times New Roman" w:hAnsi="Times New Roman" w:eastAsia="宋体"/>
          <w:sz w:val="24"/>
        </w:rPr>
      </w:pPr>
      <w:r>
        <w:rPr>
          <w:rFonts w:hint="eastAsia" w:ascii="Times New Roman" w:hAnsi="Times New Roman" w:eastAsia="宋体"/>
          <w:sz w:val="24"/>
        </w:rPr>
        <w:t>1.1同位素分离新工艺的系统性验证与机理研究</w:t>
      </w:r>
    </w:p>
    <w:p w14:paraId="1DAC4688">
      <w:pPr>
        <w:spacing w:line="360" w:lineRule="auto"/>
        <w:ind w:firstLine="480" w:firstLineChars="200"/>
        <w:rPr>
          <w:rFonts w:ascii="Times New Roman" w:hAnsi="Times New Roman" w:eastAsia="宋体"/>
          <w:sz w:val="24"/>
        </w:rPr>
      </w:pPr>
      <w:r>
        <w:rPr>
          <w:rFonts w:hint="eastAsia" w:ascii="Times New Roman" w:hAnsi="Times New Roman" w:eastAsia="宋体"/>
          <w:sz w:val="24"/>
        </w:rPr>
        <w:t>利用本项目的50级装置平台，系统研究逆向洗脱循环工艺中丰度梯度的建立与演化规律。重点考察循环运行次数、级间逆向洗脱效率、电解运行参数（如电流密度、操作电压）以及物料配比等关键变量对整体分离效能的影响。通过长周期运行实验，明确该工艺路线在当前技术条件下的极限分离能力，并验证从初始原料出发构建稳定多级丰度梯度的工程可行性。</w:t>
      </w:r>
    </w:p>
    <w:p w14:paraId="159D43F5">
      <w:pPr>
        <w:pStyle w:val="34"/>
        <w:spacing w:line="360" w:lineRule="auto"/>
        <w:ind w:left="480"/>
        <w:rPr>
          <w:rFonts w:ascii="Times New Roman" w:hAnsi="Times New Roman" w:eastAsia="宋体"/>
          <w:sz w:val="24"/>
        </w:rPr>
      </w:pPr>
      <w:r>
        <w:rPr>
          <w:rFonts w:hint="eastAsia" w:ascii="Times New Roman" w:hAnsi="Times New Roman" w:eastAsia="宋体"/>
          <w:sz w:val="24"/>
        </w:rPr>
        <w:t>1.2多级电解过程优化与放大规律研究</w:t>
      </w:r>
    </w:p>
    <w:p w14:paraId="4D44C779">
      <w:pPr>
        <w:spacing w:line="360" w:lineRule="auto"/>
        <w:ind w:firstLine="480" w:firstLineChars="200"/>
        <w:rPr>
          <w:rFonts w:ascii="Times New Roman" w:hAnsi="Times New Roman" w:eastAsia="宋体"/>
          <w:sz w:val="24"/>
        </w:rPr>
      </w:pPr>
      <w:r>
        <w:rPr>
          <w:rFonts w:hint="eastAsia" w:ascii="Times New Roman" w:hAnsi="Times New Roman" w:eastAsia="宋体"/>
          <w:sz w:val="24"/>
        </w:rPr>
        <w:t>借助五套十级电解装置的灵活组合模式（支持串联、并联及独立运行切换），深入探索不同级联配置方案下的最优操作窗口。研究内容涵盖级间物料流量的精确匹配、液相返混现象的抑制策略、以及逆向洗脱效率提升等核心工程问题。相关实验数据将为后续设计百级规模工业验证装置提供关键的工艺设计依据与操作参数边界。</w:t>
      </w:r>
    </w:p>
    <w:p w14:paraId="7B6E5CB3">
      <w:pPr>
        <w:pStyle w:val="34"/>
        <w:spacing w:line="360" w:lineRule="auto"/>
        <w:ind w:left="480"/>
        <w:rPr>
          <w:rFonts w:ascii="Times New Roman" w:hAnsi="Times New Roman" w:eastAsia="宋体"/>
          <w:sz w:val="24"/>
        </w:rPr>
      </w:pPr>
      <w:r>
        <w:rPr>
          <w:rFonts w:hint="eastAsia" w:ascii="Times New Roman" w:hAnsi="Times New Roman" w:eastAsia="宋体"/>
          <w:sz w:val="24"/>
        </w:rPr>
        <w:t>1.3相关领域技术储备与专业人才培养</w:t>
      </w:r>
    </w:p>
    <w:p w14:paraId="53E72B39">
      <w:pPr>
        <w:spacing w:line="360" w:lineRule="auto"/>
        <w:ind w:firstLine="480" w:firstLineChars="200"/>
        <w:rPr>
          <w:rFonts w:ascii="Times New Roman" w:hAnsi="Times New Roman" w:eastAsia="宋体"/>
          <w:sz w:val="24"/>
        </w:rPr>
      </w:pPr>
      <w:r>
        <w:rPr>
          <w:rFonts w:hint="eastAsia" w:ascii="Times New Roman" w:hAnsi="Times New Roman" w:eastAsia="宋体"/>
          <w:sz w:val="24"/>
        </w:rPr>
        <w:t>该装置将作为战略性同位素分离技术的重要实验研究平台，服务于国家相关科研项目的深度开展与核心技术储备积累。同时，依托该平台可有效培养研究生及工程技术人员在同位素分离理论、电化学特种工艺过程及化工系统集成放大等交叉领域的创新实践能力。</w:t>
      </w:r>
    </w:p>
    <w:p w14:paraId="7F9B4EC7">
      <w:pPr>
        <w:spacing w:line="360" w:lineRule="auto"/>
        <w:rPr>
          <w:rFonts w:ascii="Times New Roman" w:hAnsi="Times New Roman" w:eastAsia="宋体"/>
          <w:sz w:val="24"/>
        </w:rPr>
      </w:pPr>
      <w:r>
        <w:rPr>
          <w:rFonts w:hint="eastAsia" w:ascii="Times New Roman" w:hAnsi="Times New Roman" w:eastAsia="宋体"/>
          <w:sz w:val="24"/>
        </w:rPr>
        <w:t>2、技术参数</w:t>
      </w:r>
    </w:p>
    <w:p w14:paraId="7EA705FF">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2.1单级有效体积 约100ml</w:t>
      </w:r>
    </w:p>
    <w:p w14:paraId="01F665B5">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2.2电解电源</w:t>
      </w:r>
    </w:p>
    <w:p w14:paraId="09EBD8AF">
      <w:pPr>
        <w:pStyle w:val="34"/>
        <w:tabs>
          <w:tab w:val="left" w:pos="0"/>
          <w:tab w:val="left" w:pos="567"/>
        </w:tabs>
        <w:spacing w:line="360" w:lineRule="auto"/>
        <w:ind w:firstLine="240" w:firstLineChars="1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2.2.1</w:t>
      </w:r>
      <w:r>
        <w:rPr>
          <w:rFonts w:hint="eastAsia" w:ascii="Times New Roman" w:hAnsi="Times New Roman" w:eastAsia="宋体" w:cs="Times New Roman"/>
          <w:color w:val="000000" w:themeColor="text1"/>
          <w:sz w:val="24"/>
          <w:szCs w:val="24"/>
          <w14:textFill>
            <w14:solidFill>
              <w14:schemeClr w14:val="tx1"/>
            </w14:solidFill>
          </w14:textFill>
        </w:rPr>
        <w:t xml:space="preserve">电压 0-12V </w:t>
      </w:r>
    </w:p>
    <w:p w14:paraId="4A19A083">
      <w:pPr>
        <w:pStyle w:val="34"/>
        <w:tabs>
          <w:tab w:val="left" w:pos="0"/>
          <w:tab w:val="left" w:pos="567"/>
        </w:tabs>
        <w:spacing w:line="360" w:lineRule="auto"/>
        <w:ind w:left="0" w:firstLine="960" w:firstLineChars="4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2.2.2</w:t>
      </w:r>
      <w:r>
        <w:rPr>
          <w:rFonts w:hint="eastAsia" w:ascii="Times New Roman" w:hAnsi="Times New Roman" w:eastAsia="宋体" w:cs="Times New Roman"/>
          <w:color w:val="000000" w:themeColor="text1"/>
          <w:sz w:val="24"/>
          <w:szCs w:val="24"/>
          <w14:textFill>
            <w14:solidFill>
              <w14:schemeClr w14:val="tx1"/>
            </w14:solidFill>
          </w14:textFill>
        </w:rPr>
        <w:t>电流 0-30A</w:t>
      </w:r>
    </w:p>
    <w:p w14:paraId="34EFA974">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2.3搅拌形式</w:t>
      </w:r>
    </w:p>
    <w:p w14:paraId="53BD9636">
      <w:pPr>
        <w:pStyle w:val="34"/>
        <w:tabs>
          <w:tab w:val="left" w:pos="0"/>
          <w:tab w:val="left" w:pos="567"/>
        </w:tabs>
        <w:spacing w:line="360" w:lineRule="auto"/>
        <w:ind w:left="0" w:firstLine="960" w:firstLineChars="4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2.3.1</w:t>
      </w:r>
      <w:r>
        <w:rPr>
          <w:rFonts w:hint="eastAsia" w:ascii="Times New Roman" w:hAnsi="Times New Roman" w:eastAsia="宋体" w:cs="Times New Roman"/>
          <w:color w:val="000000" w:themeColor="text1"/>
          <w:sz w:val="24"/>
          <w:szCs w:val="24"/>
          <w14:textFill>
            <w14:solidFill>
              <w14:schemeClr w14:val="tx1"/>
            </w14:solidFill>
          </w14:textFill>
        </w:rPr>
        <w:t>磁力搅拌2000r/min，</w:t>
      </w:r>
    </w:p>
    <w:p w14:paraId="078DE145">
      <w:pPr>
        <w:pStyle w:val="34"/>
        <w:tabs>
          <w:tab w:val="left" w:pos="0"/>
          <w:tab w:val="left" w:pos="567"/>
        </w:tabs>
        <w:spacing w:line="360" w:lineRule="auto"/>
        <w:ind w:left="0" w:firstLine="960" w:firstLineChars="4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2.3.2</w:t>
      </w:r>
      <w:r>
        <w:rPr>
          <w:rFonts w:hint="eastAsia" w:ascii="Times New Roman" w:hAnsi="Times New Roman" w:eastAsia="宋体" w:cs="Times New Roman"/>
          <w:color w:val="000000" w:themeColor="text1"/>
          <w:sz w:val="24"/>
          <w:szCs w:val="24"/>
          <w14:textFill>
            <w14:solidFill>
              <w14:schemeClr w14:val="tx1"/>
            </w14:solidFill>
          </w14:textFill>
        </w:rPr>
        <w:t>转速可调</w:t>
      </w:r>
    </w:p>
    <w:p w14:paraId="3C737A4E">
      <w:pPr>
        <w:pStyle w:val="34"/>
        <w:tabs>
          <w:tab w:val="left" w:pos="0"/>
          <w:tab w:val="left" w:pos="567"/>
        </w:tabs>
        <w:spacing w:line="360" w:lineRule="auto"/>
        <w:ind w:left="959" w:leftChars="228" w:hanging="480" w:hanging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2.4设备材质</w:t>
      </w:r>
    </w:p>
    <w:p w14:paraId="268265D0">
      <w:pPr>
        <w:pStyle w:val="34"/>
        <w:tabs>
          <w:tab w:val="left" w:pos="0"/>
          <w:tab w:val="left" w:pos="567"/>
        </w:tabs>
        <w:spacing w:line="360" w:lineRule="auto"/>
        <w:ind w:left="958" w:leftChars="456"/>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2.4.1</w:t>
      </w:r>
      <w:r>
        <w:rPr>
          <w:rFonts w:hint="eastAsia" w:ascii="Times New Roman" w:hAnsi="Times New Roman" w:eastAsia="宋体" w:cs="Times New Roman"/>
          <w:color w:val="000000" w:themeColor="text1"/>
          <w:sz w:val="24"/>
          <w:szCs w:val="24"/>
          <w14:textFill>
            <w14:solidFill>
              <w14:schemeClr w14:val="tx1"/>
            </w14:solidFill>
          </w14:textFill>
        </w:rPr>
        <w:t>槽体PTFFE聚四氟乙烯</w:t>
      </w:r>
    </w:p>
    <w:p w14:paraId="3FD3DDE3">
      <w:pPr>
        <w:pStyle w:val="34"/>
        <w:tabs>
          <w:tab w:val="left" w:pos="0"/>
          <w:tab w:val="left" w:pos="567"/>
        </w:tabs>
        <w:spacing w:line="360" w:lineRule="auto"/>
        <w:ind w:left="958" w:leftChars="456"/>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2.4.2</w:t>
      </w:r>
      <w:r>
        <w:rPr>
          <w:rFonts w:hint="eastAsia" w:ascii="Times New Roman" w:hAnsi="Times New Roman" w:eastAsia="宋体" w:cs="Times New Roman"/>
          <w:color w:val="000000" w:themeColor="text1"/>
          <w:sz w:val="24"/>
          <w:szCs w:val="24"/>
          <w14:textFill>
            <w14:solidFill>
              <w14:schemeClr w14:val="tx1"/>
            </w14:solidFill>
          </w14:textFill>
        </w:rPr>
        <w:t>盖板透明PVC</w:t>
      </w:r>
    </w:p>
    <w:p w14:paraId="1F4572A3">
      <w:pPr>
        <w:pStyle w:val="34"/>
        <w:tabs>
          <w:tab w:val="left" w:pos="0"/>
          <w:tab w:val="left" w:pos="567"/>
        </w:tabs>
        <w:spacing w:line="360" w:lineRule="auto"/>
        <w:ind w:left="958" w:leftChars="456"/>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2.4.3</w:t>
      </w:r>
      <w:r>
        <w:rPr>
          <w:rFonts w:hint="eastAsia" w:ascii="Times New Roman" w:hAnsi="Times New Roman" w:eastAsia="宋体" w:cs="Times New Roman"/>
          <w:color w:val="000000" w:themeColor="text1"/>
          <w:sz w:val="24"/>
          <w:szCs w:val="24"/>
          <w14:textFill>
            <w14:solidFill>
              <w14:schemeClr w14:val="tx1"/>
            </w14:solidFill>
          </w14:textFill>
        </w:rPr>
        <w:t>管道PFA四氟管</w:t>
      </w:r>
    </w:p>
    <w:p w14:paraId="203F0F1A">
      <w:pPr>
        <w:pStyle w:val="34"/>
        <w:tabs>
          <w:tab w:val="left" w:pos="0"/>
          <w:tab w:val="left" w:pos="567"/>
        </w:tabs>
        <w:spacing w:line="360" w:lineRule="auto"/>
        <w:ind w:left="958" w:leftChars="456"/>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2.4.4</w:t>
      </w:r>
      <w:r>
        <w:rPr>
          <w:rFonts w:hint="eastAsia" w:ascii="Times New Roman" w:hAnsi="Times New Roman" w:eastAsia="宋体" w:cs="Times New Roman"/>
          <w:color w:val="000000" w:themeColor="text1"/>
          <w:sz w:val="24"/>
          <w:szCs w:val="24"/>
          <w14:textFill>
            <w14:solidFill>
              <w14:schemeClr w14:val="tx1"/>
            </w14:solidFill>
          </w14:textFill>
        </w:rPr>
        <w:t>储罐PTFE</w:t>
      </w:r>
    </w:p>
    <w:p w14:paraId="0BC9C71C">
      <w:pPr>
        <w:pStyle w:val="34"/>
        <w:tabs>
          <w:tab w:val="left" w:pos="0"/>
          <w:tab w:val="left" w:pos="567"/>
        </w:tabs>
        <w:spacing w:line="360" w:lineRule="auto"/>
        <w:ind w:left="958" w:leftChars="456"/>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2.4.5</w:t>
      </w:r>
      <w:r>
        <w:rPr>
          <w:rFonts w:hint="eastAsia" w:ascii="Times New Roman" w:hAnsi="Times New Roman" w:eastAsia="宋体" w:cs="Times New Roman"/>
          <w:color w:val="000000" w:themeColor="text1"/>
          <w:sz w:val="24"/>
          <w:szCs w:val="24"/>
          <w14:textFill>
            <w14:solidFill>
              <w14:schemeClr w14:val="tx1"/>
            </w14:solidFill>
          </w14:textFill>
        </w:rPr>
        <w:t>盖子透明PVC</w:t>
      </w:r>
    </w:p>
    <w:p w14:paraId="2D4CA49D">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2.5阳极和阴极 配置固定和专用接线装置</w:t>
      </w:r>
    </w:p>
    <w:p w14:paraId="4B3E5595">
      <w:pPr>
        <w:pStyle w:val="34"/>
        <w:tabs>
          <w:tab w:val="left" w:pos="0"/>
          <w:tab w:val="left" w:pos="567"/>
        </w:tabs>
        <w:spacing w:line="360" w:lineRule="auto"/>
        <w:ind w:left="0" w:firstLine="480" w:firstLineChars="200"/>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2.6储罐有效体积150ml</w:t>
      </w:r>
    </w:p>
    <w:p w14:paraId="31DD928F">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2.7管道尺寸内径4mm，外径6mm</w:t>
      </w:r>
    </w:p>
    <w:p w14:paraId="2EC56B01">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2.8输入电压单相220V/50Hz</w:t>
      </w:r>
    </w:p>
    <w:p w14:paraId="6BC777FA">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2.9进料泵 蠕动泵</w:t>
      </w:r>
    </w:p>
    <w:p w14:paraId="4CD0A5DB">
      <w:pPr>
        <w:pStyle w:val="34"/>
        <w:tabs>
          <w:tab w:val="left" w:pos="0"/>
          <w:tab w:val="left" w:pos="567"/>
        </w:tabs>
        <w:spacing w:line="360" w:lineRule="auto"/>
        <w:ind w:left="0"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2.10 装置</w:t>
      </w:r>
    </w:p>
    <w:p w14:paraId="648FB852">
      <w:pPr>
        <w:pStyle w:val="34"/>
        <w:tabs>
          <w:tab w:val="left" w:pos="0"/>
          <w:tab w:val="left" w:pos="567"/>
        </w:tabs>
        <w:spacing w:line="360" w:lineRule="auto"/>
        <w:ind w:left="0" w:firstLine="720" w:firstLineChars="3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2.10.1</w:t>
      </w:r>
      <w:r>
        <w:rPr>
          <w:rFonts w:hint="eastAsia" w:ascii="Times New Roman" w:hAnsi="Times New Roman" w:eastAsia="宋体" w:cs="Times New Roman"/>
          <w:color w:val="000000" w:themeColor="text1"/>
          <w:sz w:val="24"/>
          <w:szCs w:val="24"/>
          <w14:textFill>
            <w14:solidFill>
              <w14:schemeClr w14:val="tx1"/>
            </w14:solidFill>
          </w14:textFill>
        </w:rPr>
        <w:t>每套装置包含10级</w:t>
      </w:r>
    </w:p>
    <w:p w14:paraId="5C5CD260">
      <w:pPr>
        <w:pStyle w:val="34"/>
        <w:tabs>
          <w:tab w:val="left" w:pos="0"/>
          <w:tab w:val="left" w:pos="567"/>
        </w:tabs>
        <w:spacing w:line="360" w:lineRule="auto"/>
        <w:ind w:left="0" w:firstLine="720" w:firstLineChars="3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2.10.2</w:t>
      </w:r>
      <w:r>
        <w:rPr>
          <w:rFonts w:hint="eastAsia" w:ascii="Times New Roman" w:hAnsi="Times New Roman" w:eastAsia="宋体" w:cs="Times New Roman"/>
          <w:color w:val="000000" w:themeColor="text1"/>
          <w:sz w:val="24"/>
          <w:szCs w:val="24"/>
          <w14:textFill>
            <w14:solidFill>
              <w14:schemeClr w14:val="tx1"/>
            </w14:solidFill>
          </w14:textFill>
        </w:rPr>
        <w:t>设备支架为304不锈钢</w:t>
      </w:r>
    </w:p>
    <w:p w14:paraId="5ADCAA94">
      <w:pPr>
        <w:pStyle w:val="34"/>
        <w:tabs>
          <w:tab w:val="left" w:pos="0"/>
          <w:tab w:val="left" w:pos="567"/>
        </w:tabs>
        <w:spacing w:line="360" w:lineRule="auto"/>
        <w:ind w:left="0" w:firstLine="720" w:firstLineChars="30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FF0000"/>
          <w:sz w:val="24"/>
          <w:szCs w:val="24"/>
        </w:rPr>
        <w:t>2.10.3</w:t>
      </w:r>
      <w:r>
        <w:rPr>
          <w:rFonts w:hint="eastAsia" w:ascii="Times New Roman" w:hAnsi="Times New Roman" w:eastAsia="宋体" w:cs="Times New Roman"/>
          <w:color w:val="000000" w:themeColor="text1"/>
          <w:sz w:val="24"/>
          <w:szCs w:val="24"/>
          <w14:textFill>
            <w14:solidFill>
              <w14:schemeClr w14:val="tx1"/>
            </w14:solidFill>
          </w14:textFill>
        </w:rPr>
        <w:t>电控系统</w:t>
      </w:r>
      <w:bookmarkStart w:id="0" w:name="_GoBack"/>
      <w:bookmarkEnd w:id="0"/>
    </w:p>
    <w:p w14:paraId="2CC139EA">
      <w:pPr>
        <w:spacing w:line="360" w:lineRule="auto"/>
        <w:ind w:left="1838"/>
        <w:rPr>
          <w:rFonts w:ascii="Times New Roman" w:hAnsi="Times New Roman" w:eastAsia="宋体" w:cs="Times New Roman"/>
          <w:color w:val="000000" w:themeColor="text1"/>
          <w:kern w:val="0"/>
          <w:sz w:val="24"/>
          <w:szCs w:val="24"/>
          <w14:textFill>
            <w14:solidFill>
              <w14:schemeClr w14:val="tx1"/>
            </w14:solidFill>
          </w14:textFill>
        </w:rPr>
      </w:pPr>
    </w:p>
    <w:p w14:paraId="033523EC">
      <w:pPr>
        <w:spacing w:line="360" w:lineRule="auto"/>
        <w:ind w:left="1838"/>
        <w:rPr>
          <w:rFonts w:ascii="Times New Roman" w:hAnsi="Times New Roman" w:eastAsia="宋体" w:cs="Times New Roman"/>
          <w:color w:val="000000" w:themeColor="text1"/>
          <w:kern w:val="0"/>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DB2E91"/>
    <w:multiLevelType w:val="multilevel"/>
    <w:tmpl w:val="1CDB2E91"/>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5F4"/>
    <w:rsid w:val="0000335B"/>
    <w:rsid w:val="00036CBC"/>
    <w:rsid w:val="0006104F"/>
    <w:rsid w:val="000A1711"/>
    <w:rsid w:val="000B2693"/>
    <w:rsid w:val="000D4152"/>
    <w:rsid w:val="00187C61"/>
    <w:rsid w:val="00187CE5"/>
    <w:rsid w:val="001A7D4F"/>
    <w:rsid w:val="00247E97"/>
    <w:rsid w:val="002639A5"/>
    <w:rsid w:val="002E58DC"/>
    <w:rsid w:val="0031314D"/>
    <w:rsid w:val="00337DAA"/>
    <w:rsid w:val="003B6710"/>
    <w:rsid w:val="00404B05"/>
    <w:rsid w:val="00473FCF"/>
    <w:rsid w:val="00476CA2"/>
    <w:rsid w:val="00522DD2"/>
    <w:rsid w:val="00531DC7"/>
    <w:rsid w:val="00550005"/>
    <w:rsid w:val="00565AF3"/>
    <w:rsid w:val="005E3487"/>
    <w:rsid w:val="005E451F"/>
    <w:rsid w:val="006654EE"/>
    <w:rsid w:val="00691866"/>
    <w:rsid w:val="006C058D"/>
    <w:rsid w:val="006C5BD2"/>
    <w:rsid w:val="006D682F"/>
    <w:rsid w:val="006F7D9C"/>
    <w:rsid w:val="00711A42"/>
    <w:rsid w:val="007834C9"/>
    <w:rsid w:val="007836F8"/>
    <w:rsid w:val="00796D5C"/>
    <w:rsid w:val="00825825"/>
    <w:rsid w:val="008365F5"/>
    <w:rsid w:val="0085106B"/>
    <w:rsid w:val="00865D6C"/>
    <w:rsid w:val="008A11BE"/>
    <w:rsid w:val="008B78CD"/>
    <w:rsid w:val="009020D9"/>
    <w:rsid w:val="009112AD"/>
    <w:rsid w:val="009131B7"/>
    <w:rsid w:val="00913943"/>
    <w:rsid w:val="009808ED"/>
    <w:rsid w:val="00985279"/>
    <w:rsid w:val="00996413"/>
    <w:rsid w:val="009D7E8B"/>
    <w:rsid w:val="009F202D"/>
    <w:rsid w:val="00A452A0"/>
    <w:rsid w:val="00AA2E85"/>
    <w:rsid w:val="00B55309"/>
    <w:rsid w:val="00B96DE8"/>
    <w:rsid w:val="00BC72FC"/>
    <w:rsid w:val="00BD1742"/>
    <w:rsid w:val="00BE2F3E"/>
    <w:rsid w:val="00C00AB3"/>
    <w:rsid w:val="00C26CE3"/>
    <w:rsid w:val="00C33CED"/>
    <w:rsid w:val="00C943C1"/>
    <w:rsid w:val="00CA1A02"/>
    <w:rsid w:val="00CD148F"/>
    <w:rsid w:val="00CD6903"/>
    <w:rsid w:val="00CE3139"/>
    <w:rsid w:val="00D20784"/>
    <w:rsid w:val="00D62CC2"/>
    <w:rsid w:val="00DF25F4"/>
    <w:rsid w:val="00DF7267"/>
    <w:rsid w:val="00DF77A6"/>
    <w:rsid w:val="00EA28BE"/>
    <w:rsid w:val="00F52883"/>
    <w:rsid w:val="00FF3B72"/>
    <w:rsid w:val="0A534AFF"/>
    <w:rsid w:val="0B06759F"/>
    <w:rsid w:val="271A2909"/>
    <w:rsid w:val="35162CCC"/>
    <w:rsid w:val="3E15394A"/>
    <w:rsid w:val="45DC0571"/>
    <w:rsid w:val="5F8E6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1"/>
    <w:semiHidden/>
    <w:unhideWhenUsed/>
    <w:qFormat/>
    <w:uiPriority w:val="99"/>
    <w:pPr>
      <w:jc w:val="left"/>
    </w:pPr>
  </w:style>
  <w:style w:type="paragraph" w:styleId="12">
    <w:name w:val="Balloon Text"/>
    <w:basedOn w:val="1"/>
    <w:link w:val="43"/>
    <w:semiHidden/>
    <w:unhideWhenUsed/>
    <w:qFormat/>
    <w:uiPriority w:val="99"/>
    <w:rPr>
      <w:sz w:val="18"/>
      <w:szCs w:val="18"/>
    </w:rPr>
  </w:style>
  <w:style w:type="paragraph" w:styleId="13">
    <w:name w:val="footer"/>
    <w:basedOn w:val="1"/>
    <w:link w:val="40"/>
    <w:unhideWhenUsed/>
    <w:qFormat/>
    <w:uiPriority w:val="99"/>
    <w:pPr>
      <w:tabs>
        <w:tab w:val="center" w:pos="4153"/>
        <w:tab w:val="right" w:pos="8306"/>
      </w:tabs>
      <w:snapToGrid w:val="0"/>
      <w:jc w:val="left"/>
    </w:pPr>
    <w:rPr>
      <w:sz w:val="18"/>
      <w:szCs w:val="18"/>
    </w:rPr>
  </w:style>
  <w:style w:type="paragraph" w:styleId="14">
    <w:name w:val="header"/>
    <w:basedOn w:val="1"/>
    <w:link w:val="39"/>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1"/>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7">
    <w:name w:val="annotation subject"/>
    <w:basedOn w:val="11"/>
    <w:next w:val="11"/>
    <w:link w:val="42"/>
    <w:semiHidden/>
    <w:unhideWhenUsed/>
    <w:qFormat/>
    <w:uiPriority w:val="99"/>
    <w:rPr>
      <w:b/>
      <w:bCs/>
    </w:rPr>
  </w:style>
  <w:style w:type="character" w:styleId="20">
    <w:name w:val="annotation reference"/>
    <w:basedOn w:val="19"/>
    <w:semiHidden/>
    <w:unhideWhenUsed/>
    <w:qFormat/>
    <w:uiPriority w:val="99"/>
    <w:rPr>
      <w:sz w:val="21"/>
      <w:szCs w:val="21"/>
    </w:rPr>
  </w:style>
  <w:style w:type="character" w:customStyle="1" w:styleId="21">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9"/>
    <w:link w:val="3"/>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9"/>
    <w:link w:val="5"/>
    <w:semiHidden/>
    <w:qFormat/>
    <w:uiPriority w:val="9"/>
    <w:rPr>
      <w:rFonts w:cstheme="majorBidi"/>
      <w:color w:val="104862" w:themeColor="accent1" w:themeShade="BF"/>
      <w:sz w:val="28"/>
      <w:szCs w:val="28"/>
    </w:rPr>
  </w:style>
  <w:style w:type="character" w:customStyle="1" w:styleId="25">
    <w:name w:val="标题 5 字符"/>
    <w:basedOn w:val="19"/>
    <w:link w:val="6"/>
    <w:semiHidden/>
    <w:qFormat/>
    <w:uiPriority w:val="9"/>
    <w:rPr>
      <w:rFonts w:cstheme="majorBidi"/>
      <w:color w:val="104862" w:themeColor="accent1" w:themeShade="BF"/>
      <w:sz w:val="24"/>
      <w:szCs w:val="24"/>
    </w:rPr>
  </w:style>
  <w:style w:type="character" w:customStyle="1" w:styleId="26">
    <w:name w:val="标题 6 字符"/>
    <w:basedOn w:val="19"/>
    <w:link w:val="7"/>
    <w:semiHidden/>
    <w:qFormat/>
    <w:uiPriority w:val="9"/>
    <w:rPr>
      <w:rFonts w:cstheme="majorBidi"/>
      <w:b/>
      <w:bCs/>
      <w:color w:val="104862" w:themeColor="accent1" w:themeShade="BF"/>
    </w:rPr>
  </w:style>
  <w:style w:type="character" w:customStyle="1" w:styleId="27">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6"/>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qFormat/>
    <w:uiPriority w:val="30"/>
    <w:rPr>
      <w:i/>
      <w:iCs/>
      <w:color w:val="104862" w:themeColor="accent1" w:themeShade="BF"/>
    </w:rPr>
  </w:style>
  <w:style w:type="character" w:customStyle="1" w:styleId="38">
    <w:name w:val="明显参考1"/>
    <w:basedOn w:val="19"/>
    <w:qFormat/>
    <w:uiPriority w:val="32"/>
    <w:rPr>
      <w:b/>
      <w:bCs/>
      <w:smallCaps/>
      <w:color w:val="104862" w:themeColor="accent1" w:themeShade="BF"/>
      <w:spacing w:val="5"/>
    </w:rPr>
  </w:style>
  <w:style w:type="character" w:customStyle="1" w:styleId="39">
    <w:name w:val="页眉 字符"/>
    <w:basedOn w:val="19"/>
    <w:link w:val="14"/>
    <w:qFormat/>
    <w:uiPriority w:val="99"/>
    <w:rPr>
      <w:sz w:val="18"/>
      <w:szCs w:val="18"/>
    </w:rPr>
  </w:style>
  <w:style w:type="character" w:customStyle="1" w:styleId="40">
    <w:name w:val="页脚 字符"/>
    <w:basedOn w:val="19"/>
    <w:link w:val="13"/>
    <w:qFormat/>
    <w:uiPriority w:val="99"/>
    <w:rPr>
      <w:sz w:val="18"/>
      <w:szCs w:val="18"/>
    </w:rPr>
  </w:style>
  <w:style w:type="character" w:customStyle="1" w:styleId="41">
    <w:name w:val="批注文字 字符"/>
    <w:basedOn w:val="19"/>
    <w:link w:val="11"/>
    <w:semiHidden/>
    <w:qFormat/>
    <w:uiPriority w:val="99"/>
    <w:rPr>
      <w:kern w:val="2"/>
      <w:sz w:val="21"/>
      <w:szCs w:val="22"/>
      <w14:ligatures w14:val="standardContextual"/>
    </w:rPr>
  </w:style>
  <w:style w:type="character" w:customStyle="1" w:styleId="42">
    <w:name w:val="批注主题 字符"/>
    <w:basedOn w:val="41"/>
    <w:link w:val="17"/>
    <w:semiHidden/>
    <w:qFormat/>
    <w:uiPriority w:val="99"/>
    <w:rPr>
      <w:b/>
      <w:bCs/>
      <w:kern w:val="2"/>
      <w:sz w:val="21"/>
      <w:szCs w:val="22"/>
      <w14:ligatures w14:val="standardContextual"/>
    </w:rPr>
  </w:style>
  <w:style w:type="character" w:customStyle="1" w:styleId="43">
    <w:name w:val="批注框文本 字符"/>
    <w:basedOn w:val="19"/>
    <w:link w:val="12"/>
    <w:semiHidden/>
    <w:qFormat/>
    <w:uiPriority w:val="99"/>
    <w:rPr>
      <w:kern w:val="2"/>
      <w:sz w:val="18"/>
      <w:szCs w:val="18"/>
      <w14:ligatures w14:val="standardContextual"/>
    </w:rPr>
  </w:style>
  <w:style w:type="paragraph" w:customStyle="1" w:styleId="44">
    <w:name w:val="Revision"/>
    <w:hidden/>
    <w:unhideWhenUsed/>
    <w:qFormat/>
    <w:uiPriority w:val="99"/>
    <w:rPr>
      <w:rFonts w:asciiTheme="minorHAnsi" w:hAnsiTheme="minorHAnsi" w:eastAsiaTheme="minorEastAsia" w:cstheme="minorBidi"/>
      <w:kern w:val="2"/>
      <w:sz w:val="21"/>
      <w:szCs w:val="22"/>
      <w:lang w:val="en-US" w:eastAsia="zh-CN" w:bidi="ar-SA"/>
      <w14:ligatures w14:val="standardContextu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669</Words>
  <Characters>812</Characters>
  <Lines>6</Lines>
  <Paragraphs>1</Paragraphs>
  <TotalTime>11</TotalTime>
  <ScaleCrop>false</ScaleCrop>
  <LinksUpToDate>false</LinksUpToDate>
  <CharactersWithSpaces>820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2026-03-12T08:53:00Z</dcterms:created>
  <dc:creator>Zhou Gang</dc:creator>
  <cp:lastModifiedBy>张帅磊</cp:lastModifiedBy>
  <cp:lastPrinted>2025-11-03T08:16:00Z</cp:lastPrinted>
  <dcterms:modified xsi:type="dcterms:W3CDTF">2026-04-23T01:26:57Z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04BDCBDC252F4B25840F4CCCC8FF2928_13</vt:lpwstr>
  </property>
</Properties>
</file>