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E033B4">
      <w:pPr>
        <w:adjustRightInd w:val="0"/>
        <w:spacing w:before="120" w:line="420" w:lineRule="exact"/>
        <w:ind w:firstLine="780"/>
        <w:jc w:val="center"/>
        <w:outlineLvl w:val="1"/>
        <w:rPr>
          <w:rFonts w:ascii="黑体" w:hAnsi="黑体" w:eastAsia="黑体"/>
          <w:spacing w:val="30"/>
          <w:sz w:val="36"/>
          <w:szCs w:val="32"/>
        </w:rPr>
      </w:pPr>
      <w:bookmarkStart w:id="0" w:name="OLE_LINK1"/>
      <w:r>
        <w:rPr>
          <w:rFonts w:hint="eastAsia" w:ascii="黑体" w:hAnsi="黑体" w:eastAsia="黑体"/>
          <w:spacing w:val="30"/>
          <w:sz w:val="36"/>
          <w:szCs w:val="32"/>
        </w:rPr>
        <w:t>傅里叶红外光谱采购项目</w:t>
      </w:r>
    </w:p>
    <w:p w14:paraId="2A55DE6A">
      <w:pPr>
        <w:pStyle w:val="11"/>
        <w:spacing w:before="120"/>
        <w:ind w:firstLine="643"/>
        <w:jc w:val="center"/>
        <w:rPr>
          <w:rFonts w:ascii="宋体" w:hAnsi="宋体"/>
          <w:b/>
          <w:bCs/>
          <w:sz w:val="32"/>
          <w:szCs w:val="32"/>
        </w:rPr>
      </w:pPr>
    </w:p>
    <w:p w14:paraId="36E3399C">
      <w:pPr>
        <w:pStyle w:val="11"/>
        <w:spacing w:before="120"/>
        <w:ind w:firstLine="643"/>
        <w:jc w:val="center"/>
        <w:rPr>
          <w:rFonts w:ascii="宋体" w:hAnsi="宋体"/>
          <w:b/>
          <w:bCs/>
          <w:sz w:val="32"/>
          <w:szCs w:val="32"/>
        </w:rPr>
      </w:pPr>
      <w:r>
        <w:rPr>
          <w:rFonts w:hint="eastAsia" w:ascii="宋体" w:hAnsi="宋体"/>
          <w:b/>
          <w:bCs/>
          <w:sz w:val="32"/>
          <w:szCs w:val="32"/>
        </w:rPr>
        <w:t>技术参数</w:t>
      </w:r>
    </w:p>
    <w:bookmarkEnd w:id="0"/>
    <w:p w14:paraId="05DC6976">
      <w:pPr>
        <w:spacing w:before="120"/>
        <w:ind w:firstLine="442"/>
        <w:rPr>
          <w:b/>
          <w:bCs/>
          <w:sz w:val="22"/>
          <w:szCs w:val="28"/>
        </w:rPr>
      </w:pPr>
    </w:p>
    <w:p w14:paraId="73C68026">
      <w:pPr>
        <w:spacing w:before="120"/>
        <w:ind w:firstLine="442"/>
        <w:rPr>
          <w:b/>
          <w:bCs/>
          <w:sz w:val="22"/>
          <w:szCs w:val="28"/>
        </w:rPr>
      </w:pPr>
      <w:r>
        <w:rPr>
          <w:rFonts w:hint="eastAsia"/>
          <w:b/>
          <w:bCs/>
          <w:sz w:val="22"/>
          <w:szCs w:val="28"/>
        </w:rPr>
        <w:t>1. 傅里叶变换红外光谱仪</w:t>
      </w:r>
    </w:p>
    <w:p w14:paraId="212F190F">
      <w:pPr>
        <w:spacing w:before="120"/>
      </w:pPr>
      <w:r>
        <w:rPr>
          <w:rFonts w:hint="eastAsia"/>
          <w:color w:val="FF0000"/>
        </w:rPr>
        <w:t>1.1</w:t>
      </w:r>
      <w:r>
        <w:rPr>
          <w:rFonts w:hint="eastAsia"/>
        </w:rPr>
        <w:t>测定波数范围：8300 cm</w:t>
      </w:r>
      <w:r>
        <w:rPr>
          <w:rFonts w:hint="eastAsia"/>
          <w:vertAlign w:val="superscript"/>
        </w:rPr>
        <w:t>-1</w:t>
      </w:r>
      <w:r>
        <w:rPr>
          <w:rFonts w:hint="eastAsia"/>
        </w:rPr>
        <w:t xml:space="preserve">~350 </w:t>
      </w:r>
      <w:bookmarkStart w:id="1" w:name="_Hlk213162400"/>
      <w:r>
        <w:rPr>
          <w:rFonts w:hint="eastAsia"/>
        </w:rPr>
        <w:t>cm</w:t>
      </w:r>
      <w:r>
        <w:rPr>
          <w:rFonts w:hint="eastAsia"/>
          <w:vertAlign w:val="superscript"/>
        </w:rPr>
        <w:t>-1</w:t>
      </w:r>
      <w:bookmarkEnd w:id="1"/>
      <w:r>
        <w:rPr>
          <w:rFonts w:hint="eastAsia"/>
        </w:rPr>
        <w:t>；</w:t>
      </w:r>
    </w:p>
    <w:p w14:paraId="26E1139E">
      <w:pPr>
        <w:spacing w:before="120"/>
      </w:pPr>
      <w:r>
        <w:rPr>
          <w:rFonts w:hint="eastAsia"/>
        </w:rPr>
        <w:t>1.2</w:t>
      </w:r>
      <w:r>
        <w:rPr>
          <w:rFonts w:hint="eastAsia"/>
        </w:rPr>
        <w:tab/>
      </w:r>
      <w:r>
        <w:rPr>
          <w:rFonts w:hint="eastAsia"/>
        </w:rPr>
        <w:t>光谱分辨率：≤0.4 cm</w:t>
      </w:r>
      <w:r>
        <w:rPr>
          <w:rFonts w:hint="eastAsia"/>
          <w:vertAlign w:val="superscript"/>
        </w:rPr>
        <w:t>-1</w:t>
      </w:r>
      <w:r>
        <w:rPr>
          <w:rFonts w:hint="eastAsia"/>
        </w:rPr>
        <w:t>；</w:t>
      </w:r>
    </w:p>
    <w:p w14:paraId="23BA4C99">
      <w:pPr>
        <w:spacing w:before="120"/>
      </w:pPr>
      <w:r>
        <w:rPr>
          <w:rFonts w:hint="eastAsia"/>
        </w:rPr>
        <w:t>1.3</w:t>
      </w:r>
      <w:r>
        <w:rPr>
          <w:rFonts w:hint="eastAsia"/>
        </w:rPr>
        <w:tab/>
      </w:r>
      <w:r>
        <w:rPr>
          <w:rFonts w:hint="eastAsia"/>
        </w:rPr>
        <w:t>波数准确性： ≤0.02 cm</w:t>
      </w:r>
      <w:r>
        <w:rPr>
          <w:rFonts w:hint="eastAsia"/>
          <w:vertAlign w:val="superscript"/>
        </w:rPr>
        <w:t>-1</w:t>
      </w:r>
      <w:r>
        <w:rPr>
          <w:rFonts w:hint="eastAsia"/>
        </w:rPr>
        <w:t>；</w:t>
      </w:r>
    </w:p>
    <w:p w14:paraId="3D1945E6">
      <w:pPr>
        <w:spacing w:before="120"/>
      </w:pPr>
      <w:r>
        <w:rPr>
          <w:rFonts w:hint="eastAsia"/>
        </w:rPr>
        <w:t>1.4</w:t>
      </w:r>
      <w:r>
        <w:rPr>
          <w:rFonts w:hint="eastAsia"/>
        </w:rPr>
        <w:tab/>
      </w:r>
      <w:r>
        <w:rPr>
          <w:rFonts w:hint="eastAsia"/>
        </w:rPr>
        <w:t>波数重现性： ≤0.007 cm</w:t>
      </w:r>
      <w:r>
        <w:rPr>
          <w:rFonts w:hint="eastAsia"/>
          <w:vertAlign w:val="superscript"/>
        </w:rPr>
        <w:t>-1</w:t>
      </w:r>
      <w:r>
        <w:rPr>
          <w:rFonts w:hint="eastAsia"/>
        </w:rPr>
        <w:t>；</w:t>
      </w:r>
    </w:p>
    <w:p w14:paraId="0D9B6ADD">
      <w:pPr>
        <w:spacing w:before="120"/>
      </w:pPr>
      <w:r>
        <w:rPr>
          <w:rFonts w:hint="eastAsia"/>
        </w:rPr>
        <w:t>1.5</w:t>
      </w:r>
      <w:r>
        <w:rPr>
          <w:rFonts w:hint="eastAsia"/>
        </w:rPr>
        <w:tab/>
      </w:r>
      <w:r>
        <w:rPr>
          <w:rFonts w:hint="eastAsia"/>
        </w:rPr>
        <w:t>信噪比：≥50000:1 (按照4cm</w:t>
      </w:r>
      <w:r>
        <w:rPr>
          <w:rFonts w:hint="eastAsia"/>
          <w:vertAlign w:val="superscript"/>
        </w:rPr>
        <w:t>-1</w:t>
      </w:r>
      <w:r>
        <w:rPr>
          <w:rFonts w:hint="eastAsia"/>
        </w:rPr>
        <w:t>分辨率，连续扫描1分钟基线，测试峰高峰谷比值)；</w:t>
      </w:r>
    </w:p>
    <w:p w14:paraId="1E5F5FC0">
      <w:pPr>
        <w:spacing w:before="120"/>
      </w:pPr>
      <w:r>
        <w:rPr>
          <w:rFonts w:hint="eastAsia"/>
        </w:rPr>
        <w:t>1.6</w:t>
      </w:r>
      <w:r>
        <w:rPr>
          <w:rFonts w:hint="eastAsia"/>
        </w:rPr>
        <w:tab/>
      </w:r>
      <w:r>
        <w:rPr>
          <w:rFonts w:hint="eastAsia"/>
        </w:rPr>
        <w:t>干涉仪：需提供无动态错误的干涉仪系统，从根本消除标准干涉仪无法避免的动镜倾斜和切变的影响，无需使用动态调整装置校正。对称设计，无地心引力的影响；</w:t>
      </w:r>
    </w:p>
    <w:p w14:paraId="4BE91CD2">
      <w:pPr>
        <w:spacing w:before="120"/>
      </w:pPr>
      <w:r>
        <w:rPr>
          <w:rFonts w:hint="eastAsia"/>
          <w:color w:val="FF0000"/>
        </w:rPr>
        <w:t>1.7</w:t>
      </w:r>
      <w:r>
        <w:rPr>
          <w:rFonts w:hint="eastAsia"/>
        </w:rPr>
        <w:t xml:space="preserve"> 红外光源：预准直，可自行更换；采用恒温高效黑体空腔光源设计，按ASTM 0法测定，能量比E4000/Emax&gt;70%；</w:t>
      </w:r>
    </w:p>
    <w:p w14:paraId="4903767C">
      <w:pPr>
        <w:spacing w:before="120"/>
      </w:pPr>
      <w:r>
        <w:rPr>
          <w:rFonts w:hint="eastAsia"/>
        </w:rPr>
        <w:t>1.8</w:t>
      </w:r>
      <w:r>
        <w:rPr>
          <w:rFonts w:hint="eastAsia"/>
        </w:rPr>
        <w:tab/>
      </w:r>
      <w:r>
        <w:rPr>
          <w:rFonts w:hint="eastAsia"/>
        </w:rPr>
        <w:t>分束器：多层KBr分束器；</w:t>
      </w:r>
    </w:p>
    <w:p w14:paraId="24E556DA">
      <w:pPr>
        <w:spacing w:before="120"/>
      </w:pPr>
      <w:r>
        <w:rPr>
          <w:rFonts w:hint="eastAsia"/>
        </w:rPr>
        <w:t>1.9</w:t>
      </w:r>
      <w:r>
        <w:rPr>
          <w:rFonts w:hint="eastAsia"/>
        </w:rPr>
        <w:tab/>
      </w:r>
      <w:r>
        <w:rPr>
          <w:rFonts w:hint="eastAsia"/>
        </w:rPr>
        <w:t>检测器：MIR DTGS</w:t>
      </w:r>
    </w:p>
    <w:p w14:paraId="0D41C0F1">
      <w:pPr>
        <w:spacing w:before="120"/>
      </w:pPr>
      <w:r>
        <w:rPr>
          <w:rFonts w:hint="eastAsia"/>
          <w:color w:val="FF0000"/>
        </w:rPr>
        <w:t xml:space="preserve">1.10 </w:t>
      </w:r>
      <w:r>
        <w:rPr>
          <w:rFonts w:hint="eastAsia"/>
        </w:rPr>
        <w:t>AVC功能：实时扣除空气中的水和二氧化碳，即在硬件层面自动实时扣除空气中H2O和CO2干扰背景，在测背景和样品时分别扣除当时测量时的空气中的水和二氧化碳的干扰，确保结果准确；可在开机状态下的单光束能量图中反映出扣除水和二氧化碳的干扰后的仪器背景吸收；</w:t>
      </w:r>
    </w:p>
    <w:p w14:paraId="2E938590">
      <w:pPr>
        <w:spacing w:before="120"/>
      </w:pPr>
      <w:r>
        <w:rPr>
          <w:rFonts w:hint="eastAsia"/>
        </w:rPr>
        <w:t>1.11 具有AVI功能。以内置的绝对标准来校正谱峰的形状和位置，确保不同仪器和不同附件测出的结果不漂移，保证测量的准确性，及数据在仪器与仪器之间比较和传递的绝对一致性；</w:t>
      </w:r>
    </w:p>
    <w:p w14:paraId="6C77BF00">
      <w:pPr>
        <w:spacing w:before="120"/>
      </w:pPr>
      <w:r>
        <w:rPr>
          <w:rFonts w:hint="eastAsia"/>
        </w:rPr>
        <w:t>1.12 具有APV，自动性能校验功能。内置有衡量仪器性能的4种标准物质，仪器工作站中包含有符合ASTM等检测标准要求的程序，用户可通过软件，方便地进行仪器各项性能，如波数的精度和准确度、透光率的精度和准确度，信噪比的测定等等；用户并可通过软件自行对偏移的参数进行调节；</w:t>
      </w:r>
    </w:p>
    <w:p w14:paraId="48E74D19">
      <w:pPr>
        <w:spacing w:before="120"/>
      </w:pPr>
      <w:r>
        <w:rPr>
          <w:rFonts w:hint="eastAsia"/>
        </w:rPr>
        <w:t>1.13 附件识别：ATR晶体附件一旦被安装进采样区域，仪器自动检测相应的附件及ATR顶板。为所安装的附件自动优化仪器参数；带压力传感器ATR附件，软件实时显示ATR压力，软件可以识别ATR晶体材质及序列号，自动根据ATR附件设定测试条件，测试谱图自动记录测试压力、测试仪器序列号等信息。可根据不同样品施加不同大小压力，确保测试数据谱图质量。</w:t>
      </w:r>
    </w:p>
    <w:p w14:paraId="6C8599B6">
      <w:pPr>
        <w:spacing w:before="120"/>
      </w:pPr>
      <w:r>
        <w:rPr>
          <w:rFonts w:hint="eastAsia"/>
        </w:rPr>
        <w:t>1.14 液晶显示屏：仪器自带一块液晶显示屏，能在仪器上直接操作以及SOPs方式测定样品，查看样品信息；无需走到计算计算机屏幕前既可以实时监控仪器状态。</w:t>
      </w:r>
    </w:p>
    <w:p w14:paraId="5C66CEF4">
      <w:pPr>
        <w:spacing w:before="120"/>
      </w:pPr>
      <w:r>
        <w:rPr>
          <w:rFonts w:hint="eastAsia"/>
        </w:rPr>
        <w:t>1.15 通讯接口： TCP/IP接口直接连接、无线网络连接，便于手套箱等特殊场合的使用；</w:t>
      </w:r>
    </w:p>
    <w:p w14:paraId="6F1E5FF2">
      <w:pPr>
        <w:spacing w:before="120"/>
      </w:pPr>
      <w:r>
        <w:rPr>
          <w:rFonts w:hint="eastAsia"/>
        </w:rPr>
        <w:t>1.16 软件功能：</w:t>
      </w:r>
    </w:p>
    <w:p w14:paraId="7B53CA09">
      <w:pPr>
        <w:spacing w:before="120"/>
      </w:pPr>
      <w:r>
        <w:rPr>
          <w:rFonts w:hint="eastAsia"/>
        </w:rPr>
        <w:t>1.16.1 包含进行红外分析所需的所有功能：仪器控制，数据处理和分析，报告模版；</w:t>
      </w:r>
    </w:p>
    <w:p w14:paraId="587AB6AD">
      <w:pPr>
        <w:spacing w:before="120"/>
      </w:pPr>
      <w:r>
        <w:rPr>
          <w:rFonts w:hint="eastAsia"/>
        </w:rPr>
        <w:t>1.16.2 用户界面：密码保护的用户登录功能，支持Windows登录方式；</w:t>
      </w:r>
    </w:p>
    <w:p w14:paraId="76BEEAFA">
      <w:pPr>
        <w:spacing w:before="120"/>
      </w:pPr>
      <w:r>
        <w:rPr>
          <w:rFonts w:hint="eastAsia"/>
        </w:rPr>
        <w:t>1.16.3 报告：图片、光谱和结果窗口快速打印工具；用户自定义模版生成功能；</w:t>
      </w:r>
    </w:p>
    <w:p w14:paraId="15497AC0">
      <w:pPr>
        <w:spacing w:before="120"/>
      </w:pPr>
      <w:r>
        <w:rPr>
          <w:rFonts w:hint="eastAsia"/>
        </w:rPr>
        <w:t>1.16.4 数据处理功能：1-4 阶倒数，平滑，差谱，归一化，A，%T，%R，KM，LOG(1/R)，纵坐标模式，cm-1，nm以及微米，+，-，×，÷，基线校正，解卷积，KK，KM，ATR校正，峰值表，峰高峰面积计算；</w:t>
      </w:r>
    </w:p>
    <w:p w14:paraId="3EF6CA07">
      <w:pPr>
        <w:spacing w:before="120"/>
        <w:ind w:firstLine="442"/>
        <w:rPr>
          <w:b/>
          <w:bCs/>
          <w:sz w:val="22"/>
          <w:szCs w:val="28"/>
        </w:rPr>
      </w:pPr>
      <w:r>
        <w:rPr>
          <w:rFonts w:hint="eastAsia"/>
          <w:b/>
          <w:bCs/>
          <w:sz w:val="22"/>
          <w:szCs w:val="28"/>
        </w:rPr>
        <w:t>2.电脑：</w:t>
      </w:r>
    </w:p>
    <w:p w14:paraId="1CB143D0">
      <w:pPr>
        <w:spacing w:before="120"/>
      </w:pPr>
      <w:r>
        <w:rPr>
          <w:rFonts w:hint="eastAsia"/>
        </w:rPr>
        <w:t>电脑不低于该配置：系统采用64位win10专业版，CPU I7，内存32G，1T硬盘。</w:t>
      </w:r>
    </w:p>
    <w:p w14:paraId="57835129">
      <w:pPr>
        <w:spacing w:before="120"/>
      </w:pPr>
    </w:p>
    <w:p w14:paraId="63CD807D">
      <w:pPr>
        <w:numPr>
          <w:ilvl w:val="0"/>
          <w:numId w:val="1"/>
        </w:numPr>
        <w:spacing w:before="120"/>
        <w:ind w:firstLine="422"/>
        <w:rPr>
          <w:b/>
          <w:bCs/>
        </w:rPr>
      </w:pPr>
      <w:r>
        <w:rPr>
          <w:rFonts w:hint="eastAsia"/>
          <w:b/>
          <w:bCs/>
        </w:rPr>
        <w:t>压片机：</w:t>
      </w:r>
    </w:p>
    <w:p w14:paraId="5DC71925">
      <w:pPr>
        <w:spacing w:before="120"/>
        <w:ind w:firstLine="0" w:firstLineChars="0"/>
      </w:pPr>
      <w:r>
        <w:rPr>
          <w:rFonts w:hint="eastAsia"/>
        </w:rPr>
        <w:t xml:space="preserve">        3.1 最大载荷：2吨</w:t>
      </w:r>
      <w:bookmarkStart w:id="2" w:name="_GoBack"/>
      <w:bookmarkEnd w:id="2"/>
    </w:p>
    <w:p w14:paraId="3A1C8333">
      <w:pPr>
        <w:spacing w:before="120"/>
      </w:pPr>
      <w:r>
        <w:rPr>
          <w:rFonts w:hint="eastAsia"/>
        </w:rPr>
        <w:t>3.2 适用模具：7mm直径KBr模具</w:t>
      </w:r>
    </w:p>
    <w:p w14:paraId="72E1FE6F">
      <w:pPr>
        <w:spacing w:before="120"/>
      </w:pPr>
      <w:r>
        <w:rPr>
          <w:rFonts w:hint="eastAsia"/>
        </w:rPr>
        <w:t>3.3 压力显示：内置压力表</w:t>
      </w:r>
    </w:p>
    <w:p w14:paraId="62EAF064">
      <w:pPr>
        <w:spacing w:before="120"/>
      </w:pPr>
      <w:r>
        <w:rPr>
          <w:rFonts w:hint="eastAsia"/>
        </w:rPr>
        <w:t>3.4 压面间距：12–50mm</w:t>
      </w:r>
    </w:p>
    <w:p w14:paraId="6A152722">
      <w:pPr>
        <w:spacing w:before="120"/>
      </w:pPr>
      <w:r>
        <w:rPr>
          <w:rFonts w:hint="eastAsia"/>
        </w:rPr>
        <w:t>3.5 柱塞冲程：0.5mm</w:t>
      </w:r>
    </w:p>
    <w:p w14:paraId="488B3864">
      <w:pPr>
        <w:spacing w:before="120"/>
      </w:pPr>
    </w:p>
    <w:p w14:paraId="1FFF2388">
      <w:pPr>
        <w:spacing w:before="120"/>
      </w:pPr>
    </w:p>
    <w:p w14:paraId="1A02CBA9">
      <w:pPr>
        <w:spacing w:before="120"/>
      </w:pPr>
    </w:p>
    <w:p w14:paraId="784BCF29">
      <w:pPr>
        <w:spacing w:before="120"/>
      </w:pPr>
    </w:p>
    <w:p w14:paraId="0F573DA7">
      <w:pPr>
        <w:spacing w:before="120"/>
      </w:pPr>
    </w:p>
    <w:sectPr>
      <w:headerReference r:id="rId7" w:type="first"/>
      <w:footerReference r:id="rId10" w:type="first"/>
      <w:headerReference r:id="rId5" w:type="default"/>
      <w:footerReference r:id="rId8" w:type="default"/>
      <w:headerReference r:id="rId6" w:type="even"/>
      <w:footerReference r:id="rId9" w:type="even"/>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ptos">
    <w:altName w:val="Calibri"/>
    <w:panose1 w:val="00000000000000000000"/>
    <w:charset w:val="00"/>
    <w:family w:val="swiss"/>
    <w:pitch w:val="default"/>
    <w:sig w:usb0="00000000" w:usb1="00000000" w:usb2="00000000" w:usb3="00000000" w:csb0="0000019F" w:csb1="00000000"/>
  </w:font>
  <w:font w:name="等线">
    <w:panose1 w:val="02010600030101010101"/>
    <w:charset w:val="86"/>
    <w:family w:val="auto"/>
    <w:pitch w:val="default"/>
    <w:sig w:usb0="A00002BF" w:usb1="38CF7CFA" w:usb2="00000016" w:usb3="00000000" w:csb0="0004000F" w:csb1="00000000"/>
  </w:font>
  <w:font w:name="Aptos Display">
    <w:altName w:val="Calibri"/>
    <w:panose1 w:val="00000000000000000000"/>
    <w:charset w:val="00"/>
    <w:family w:val="swiss"/>
    <w:pitch w:val="default"/>
    <w:sig w:usb0="00000000" w:usb1="00000000" w:usb2="00000000" w:usb3="00000000" w:csb0="0000019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2FD0A">
    <w:pPr>
      <w:pStyle w:val="13"/>
      <w:spacing w:before="12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65C27">
    <w:pPr>
      <w:pStyle w:val="13"/>
      <w:spacing w:before="1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F25BA">
    <w:pPr>
      <w:pStyle w:val="13"/>
      <w:spacing w:before="12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ind w:firstLine="420"/>
      </w:pPr>
      <w:r>
        <w:separator/>
      </w:r>
    </w:p>
  </w:footnote>
  <w:footnote w:type="continuationSeparator" w:id="1">
    <w:p>
      <w:pPr>
        <w:spacing w:before="0" w:after="0"/>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90ADA">
    <w:pPr>
      <w:pStyle w:val="14"/>
      <w:spacing w:before="12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B08A9">
    <w:pPr>
      <w:pStyle w:val="14"/>
      <w:spacing w:before="1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628E7">
    <w:pPr>
      <w:pStyle w:val="14"/>
      <w:spacing w:before="12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FDCB9A"/>
    <w:multiLevelType w:val="singleLevel"/>
    <w:tmpl w:val="7CFDCB9A"/>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192"/>
    <w:rsid w:val="00036A10"/>
    <w:rsid w:val="00087FD3"/>
    <w:rsid w:val="001505B5"/>
    <w:rsid w:val="001E3D36"/>
    <w:rsid w:val="0023320D"/>
    <w:rsid w:val="002603DA"/>
    <w:rsid w:val="00265BDC"/>
    <w:rsid w:val="002E5EDB"/>
    <w:rsid w:val="003072D7"/>
    <w:rsid w:val="003311BC"/>
    <w:rsid w:val="00402A1D"/>
    <w:rsid w:val="00446262"/>
    <w:rsid w:val="004E1192"/>
    <w:rsid w:val="00592A4D"/>
    <w:rsid w:val="005B687E"/>
    <w:rsid w:val="005C2A2F"/>
    <w:rsid w:val="006B4A3D"/>
    <w:rsid w:val="006C7466"/>
    <w:rsid w:val="0070528C"/>
    <w:rsid w:val="008B2097"/>
    <w:rsid w:val="00914C23"/>
    <w:rsid w:val="00A02856"/>
    <w:rsid w:val="00A26216"/>
    <w:rsid w:val="00A26D81"/>
    <w:rsid w:val="00AF382A"/>
    <w:rsid w:val="00B60368"/>
    <w:rsid w:val="00B7162C"/>
    <w:rsid w:val="00B924AC"/>
    <w:rsid w:val="00E96E24"/>
    <w:rsid w:val="0F9B1CBA"/>
    <w:rsid w:val="2DC5507E"/>
    <w:rsid w:val="54FE60F2"/>
    <w:rsid w:val="5D5723D5"/>
    <w:rsid w:val="65E14A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utoSpaceDN w:val="0"/>
      <w:snapToGrid w:val="0"/>
      <w:spacing w:before="156" w:beforeLines="50"/>
      <w:ind w:firstLine="420" w:firstLineChars="200"/>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3"/>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4"/>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6"/>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39"/>
    <w:qFormat/>
    <w:uiPriority w:val="0"/>
  </w:style>
  <w:style w:type="paragraph" w:styleId="12">
    <w:name w:val="Balloon Text"/>
    <w:basedOn w:val="1"/>
    <w:link w:val="43"/>
    <w:semiHidden/>
    <w:unhideWhenUsed/>
    <w:qFormat/>
    <w:uiPriority w:val="99"/>
    <w:pPr>
      <w:spacing w:before="0"/>
    </w:pPr>
    <w:rPr>
      <w:sz w:val="18"/>
      <w:szCs w:val="18"/>
    </w:rPr>
  </w:style>
  <w:style w:type="paragraph" w:styleId="13">
    <w:name w:val="footer"/>
    <w:basedOn w:val="1"/>
    <w:link w:val="41"/>
    <w:unhideWhenUsed/>
    <w:qFormat/>
    <w:uiPriority w:val="99"/>
    <w:pPr>
      <w:tabs>
        <w:tab w:val="center" w:pos="4153"/>
        <w:tab w:val="right" w:pos="8306"/>
      </w:tabs>
    </w:pPr>
    <w:rPr>
      <w:sz w:val="18"/>
      <w:szCs w:val="18"/>
    </w:rPr>
  </w:style>
  <w:style w:type="paragraph" w:styleId="14">
    <w:name w:val="header"/>
    <w:basedOn w:val="1"/>
    <w:link w:val="40"/>
    <w:unhideWhenUsed/>
    <w:qFormat/>
    <w:uiPriority w:val="99"/>
    <w:pPr>
      <w:pBdr>
        <w:bottom w:val="single" w:color="auto" w:sz="6" w:space="1"/>
      </w:pBdr>
      <w:tabs>
        <w:tab w:val="center" w:pos="4153"/>
        <w:tab w:val="right" w:pos="8306"/>
      </w:tabs>
      <w:jc w:val="center"/>
    </w:pPr>
    <w:rPr>
      <w:sz w:val="18"/>
      <w:szCs w:val="18"/>
    </w:rPr>
  </w:style>
  <w:style w:type="paragraph" w:styleId="15">
    <w:name w:val="Subtitle"/>
    <w:basedOn w:val="1"/>
    <w:next w:val="1"/>
    <w:link w:val="3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Title"/>
    <w:basedOn w:val="1"/>
    <w:next w:val="1"/>
    <w:link w:val="30"/>
    <w:qFormat/>
    <w:uiPriority w:val="10"/>
    <w:pPr>
      <w:spacing w:after="80"/>
      <w:contextualSpacing/>
    </w:pPr>
    <w:rPr>
      <w:rFonts w:asciiTheme="majorHAnsi" w:hAnsiTheme="majorHAnsi" w:eastAsiaTheme="majorEastAsia" w:cstheme="majorBidi"/>
      <w:spacing w:val="-10"/>
      <w:kern w:val="28"/>
      <w:sz w:val="56"/>
      <w:szCs w:val="56"/>
    </w:rPr>
  </w:style>
  <w:style w:type="paragraph" w:styleId="17">
    <w:name w:val="annotation subject"/>
    <w:basedOn w:val="11"/>
    <w:next w:val="11"/>
    <w:link w:val="42"/>
    <w:semiHidden/>
    <w:unhideWhenUsed/>
    <w:qFormat/>
    <w:uiPriority w:val="99"/>
    <w:rPr>
      <w:b/>
      <w:bCs/>
    </w:rPr>
  </w:style>
  <w:style w:type="character" w:styleId="20">
    <w:name w:val="annotation reference"/>
    <w:basedOn w:val="19"/>
    <w:semiHidden/>
    <w:unhideWhenUsed/>
    <w:qFormat/>
    <w:uiPriority w:val="99"/>
    <w:rPr>
      <w:sz w:val="21"/>
      <w:szCs w:val="21"/>
    </w:rPr>
  </w:style>
  <w:style w:type="character" w:customStyle="1" w:styleId="21">
    <w:name w:val="标题 1 字符"/>
    <w:basedOn w:val="19"/>
    <w:link w:val="2"/>
    <w:qFormat/>
    <w:uiPriority w:val="9"/>
    <w:rPr>
      <w:rFonts w:asciiTheme="majorHAnsi" w:hAnsiTheme="majorHAnsi" w:eastAsiaTheme="majorEastAsia" w:cstheme="majorBidi"/>
      <w:color w:val="104862" w:themeColor="accent1" w:themeShade="BF"/>
      <w:sz w:val="40"/>
      <w:szCs w:val="40"/>
    </w:rPr>
  </w:style>
  <w:style w:type="character" w:customStyle="1" w:styleId="22">
    <w:name w:val="标题 2 字符"/>
    <w:basedOn w:val="19"/>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23">
    <w:name w:val="标题 3 字符"/>
    <w:basedOn w:val="19"/>
    <w:link w:val="4"/>
    <w:semiHidden/>
    <w:qFormat/>
    <w:uiPriority w:val="9"/>
    <w:rPr>
      <w:rFonts w:eastAsiaTheme="majorEastAsia" w:cstheme="majorBidi"/>
      <w:color w:val="104862" w:themeColor="accent1" w:themeShade="BF"/>
      <w:sz w:val="28"/>
      <w:szCs w:val="28"/>
    </w:rPr>
  </w:style>
  <w:style w:type="character" w:customStyle="1" w:styleId="24">
    <w:name w:val="标题 4 字符"/>
    <w:basedOn w:val="19"/>
    <w:link w:val="5"/>
    <w:semiHidden/>
    <w:qFormat/>
    <w:uiPriority w:val="9"/>
    <w:rPr>
      <w:rFonts w:eastAsiaTheme="majorEastAsia" w:cstheme="majorBidi"/>
      <w:i/>
      <w:iCs/>
      <w:color w:val="104862" w:themeColor="accent1" w:themeShade="BF"/>
    </w:rPr>
  </w:style>
  <w:style w:type="character" w:customStyle="1" w:styleId="25">
    <w:name w:val="标题 5 字符"/>
    <w:basedOn w:val="19"/>
    <w:link w:val="6"/>
    <w:semiHidden/>
    <w:qFormat/>
    <w:uiPriority w:val="9"/>
    <w:rPr>
      <w:rFonts w:eastAsiaTheme="majorEastAsia" w:cstheme="majorBidi"/>
      <w:color w:val="104862" w:themeColor="accent1" w:themeShade="BF"/>
    </w:rPr>
  </w:style>
  <w:style w:type="character" w:customStyle="1" w:styleId="26">
    <w:name w:val="标题 6 字符"/>
    <w:basedOn w:val="19"/>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7">
    <w:name w:val="标题 7 字符"/>
    <w:basedOn w:val="19"/>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标题 8 字符"/>
    <w:basedOn w:val="19"/>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9">
    <w:name w:val="标题 9 字符"/>
    <w:basedOn w:val="19"/>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0">
    <w:name w:val="标题 字符"/>
    <w:basedOn w:val="19"/>
    <w:link w:val="16"/>
    <w:qFormat/>
    <w:uiPriority w:val="10"/>
    <w:rPr>
      <w:rFonts w:asciiTheme="majorHAnsi" w:hAnsiTheme="majorHAnsi" w:eastAsiaTheme="majorEastAsia" w:cstheme="majorBidi"/>
      <w:spacing w:val="-10"/>
      <w:kern w:val="28"/>
      <w:sz w:val="56"/>
      <w:szCs w:val="56"/>
    </w:rPr>
  </w:style>
  <w:style w:type="character" w:customStyle="1" w:styleId="31">
    <w:name w:val="副标题 字符"/>
    <w:basedOn w:val="19"/>
    <w:link w:val="1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9"/>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明显强调1"/>
    <w:basedOn w:val="19"/>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明显引用 字符"/>
    <w:basedOn w:val="19"/>
    <w:link w:val="36"/>
    <w:qFormat/>
    <w:uiPriority w:val="30"/>
    <w:rPr>
      <w:i/>
      <w:iCs/>
      <w:color w:val="104862" w:themeColor="accent1" w:themeShade="BF"/>
    </w:rPr>
  </w:style>
  <w:style w:type="character" w:customStyle="1" w:styleId="38">
    <w:name w:val="明显参考1"/>
    <w:basedOn w:val="19"/>
    <w:qFormat/>
    <w:uiPriority w:val="32"/>
    <w:rPr>
      <w:b/>
      <w:bCs/>
      <w:smallCaps/>
      <w:color w:val="104862" w:themeColor="accent1" w:themeShade="BF"/>
      <w:spacing w:val="5"/>
    </w:rPr>
  </w:style>
  <w:style w:type="character" w:customStyle="1" w:styleId="39">
    <w:name w:val="批注文字 字符"/>
    <w:basedOn w:val="19"/>
    <w:link w:val="11"/>
    <w:qFormat/>
    <w:uiPriority w:val="0"/>
    <w:rPr>
      <w:rFonts w:ascii="Times New Roman" w:hAnsi="Times New Roman" w:eastAsia="宋体" w:cs="Times New Roman"/>
      <w:sz w:val="21"/>
      <w14:ligatures w14:val="none"/>
    </w:rPr>
  </w:style>
  <w:style w:type="character" w:customStyle="1" w:styleId="40">
    <w:name w:val="页眉 字符"/>
    <w:basedOn w:val="19"/>
    <w:link w:val="14"/>
    <w:qFormat/>
    <w:uiPriority w:val="99"/>
    <w:rPr>
      <w:rFonts w:ascii="Times New Roman" w:hAnsi="Times New Roman" w:eastAsia="宋体" w:cs="Times New Roman"/>
      <w:sz w:val="18"/>
      <w:szCs w:val="18"/>
      <w14:ligatures w14:val="none"/>
    </w:rPr>
  </w:style>
  <w:style w:type="character" w:customStyle="1" w:styleId="41">
    <w:name w:val="页脚 字符"/>
    <w:basedOn w:val="19"/>
    <w:link w:val="13"/>
    <w:qFormat/>
    <w:uiPriority w:val="99"/>
    <w:rPr>
      <w:rFonts w:ascii="Times New Roman" w:hAnsi="Times New Roman" w:eastAsia="宋体" w:cs="Times New Roman"/>
      <w:sz w:val="18"/>
      <w:szCs w:val="18"/>
      <w14:ligatures w14:val="none"/>
    </w:rPr>
  </w:style>
  <w:style w:type="character" w:customStyle="1" w:styleId="42">
    <w:name w:val="批注主题 字符"/>
    <w:basedOn w:val="39"/>
    <w:link w:val="17"/>
    <w:semiHidden/>
    <w:qFormat/>
    <w:uiPriority w:val="99"/>
    <w:rPr>
      <w:rFonts w:ascii="Times New Roman" w:hAnsi="Times New Roman" w:eastAsia="宋体" w:cs="Times New Roman"/>
      <w:b/>
      <w:bCs/>
      <w:sz w:val="21"/>
      <w14:ligatures w14:val="none"/>
    </w:rPr>
  </w:style>
  <w:style w:type="character" w:customStyle="1" w:styleId="43">
    <w:name w:val="批注框文本 字符"/>
    <w:basedOn w:val="19"/>
    <w:link w:val="12"/>
    <w:semiHidden/>
    <w:qFormat/>
    <w:uiPriority w:val="99"/>
    <w:rPr>
      <w:rFonts w:ascii="Times New Roman" w:hAnsi="Times New Roman" w:eastAsia="宋体" w:cs="Times New Roman"/>
      <w:sz w:val="18"/>
      <w:szCs w:val="18"/>
      <w14:ligatures w14: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PerkinElmer</Company>
  <Pages>2</Pages>
  <Words>1116</Words>
  <Characters>1333</Characters>
  <Lines>10</Lines>
  <Paragraphs>2</Paragraphs>
  <TotalTime>5</TotalTime>
  <ScaleCrop>false</ScaleCrop>
  <LinksUpToDate>false</LinksUpToDate>
  <CharactersWithSpaces>1379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2026-05-29T10:33:00Z</dcterms:created>
  <dc:creator>Zhang, Chun (AES)</dc:creator>
  <cp:lastModifiedBy>张帅磊</cp:lastModifiedBy>
  <dcterms:modified xsi:type="dcterms:W3CDTF">2026-06-02T07:34:29Z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71CB3B3EE9D44393928D82A22362BF62_12</vt:lpwstr>
  </property>
</Properties>
</file>