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附件：</w:t>
      </w:r>
    </w:p>
    <w:p>
      <w:pPr>
        <w:pStyle w:val="6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u w:val="none"/>
          <w:lang w:val="en-US" w:eastAsia="zh-CN" w:bidi="ar-SA"/>
        </w:rPr>
        <w:t>本项目（第一包：商学院基础科学中心会议室设备采购）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u w:val="single"/>
          <w:lang w:val="en-US" w:eastAsia="zh-CN" w:bidi="ar-SA"/>
        </w:rPr>
        <w:t>招标文件第五章“采购需求”修改内容如下：</w:t>
      </w:r>
    </w:p>
    <w:p>
      <w:pPr>
        <w:ind w:firstLine="560" w:firstLineChars="200"/>
        <w:rPr>
          <w:rFonts w:hint="default"/>
          <w:b w:val="0"/>
          <w:bCs w:val="0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1、第二节“技术要求”包一第（二）项“技术参数”第16款由</w:t>
      </w:r>
    </w:p>
    <w:tbl>
      <w:tblPr>
        <w:tblStyle w:val="4"/>
        <w:tblW w:w="4997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34"/>
        <w:gridCol w:w="5062"/>
        <w:gridCol w:w="767"/>
        <w:gridCol w:w="86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07" w:type="pct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16</w:t>
            </w:r>
          </w:p>
        </w:tc>
        <w:tc>
          <w:tcPr>
            <w:tcW w:w="1029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全彩LED显示屏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Han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Hans" w:bidi="ar"/>
              </w:rPr>
              <w:t>（核心产品）</w:t>
            </w:r>
          </w:p>
        </w:tc>
        <w:tc>
          <w:tcPr>
            <w:tcW w:w="2693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1.★点间距≤1.57mm；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2.★屏体尺寸：标准16：9；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3.★整屏分辨率宽≥2080点，高≥1160点；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4.像素密度：≥418888点/平方；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5.具备高效散热机构，电源通过导热板紧贴箱体结构，通过压铸铝箱体导热，无需开孔散热；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6.水平/垂直相对偏差：≤1%；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7.模块微调功能：支持以模组为单位进行三维调节，模块间精密微调，可以对任何一个模块进行亚亳米级的精细微调；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8.峰值功耗≤550W/㎡；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9.白平衡最大亮度：≥650cd/㎡；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10.视角：≥160°；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11.平整度：≤0.1mm；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12.亮度均匀性：≥97%；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13.像素失控率：≤1*10-6，无连续失控点；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14.色温：1000K－15000K可调；调节步长；100K，并可自定义色温值；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15.色温误差：色温为6500K时，100%、75%、50%、25%四档电平白场调节色温误差≤100K；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16.换帧频率：50Hz＆60Hz，支持120Hz等3D显示技术；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17.最高对比度：10000：1；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18.灰度等级：≥14bit；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19.色域≥120%NTSC；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20.刷新频率：≥3840Hz；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21.外壳防护等级：≥IP5X 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22.支持单点(逐点)色度和亮度校正；支持5套亮度级校正系数，多层校正及存储；支持出厂校正及现场校正；校正后亮度损失＜10%；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23.平均无故障时(MTBF)：≥100000小时；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24.模块表面处理采用电喷技术，黑色哑光处理，可有效防止反光和静电，无面罩设计，反光率≤1.5%；显示屏对比度高，屏幕表面采用无塑胶类结构件，屏体表面均匀，观看视角大，观看效果好，PCB及灯管热良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25.亮度调整：具有随环境照度的变化而自动亮度调整的功能,支持手动、自动、程控(0-100%可调)，支持无级调节；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26.数据存储：具有模块级亮度、色度校正数据的存储及回读功能；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27.低亮度高灰：支持灰阶控制技术，支持灰度8bit-22bit任意设置，亮度调节至100%时，灰度22bit;亮度调节至80%时，灰度为17bit;亮度调节至50%时，灰度为16bit;亮度调节至20%时，灰度为15bit；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28.屏体支持N+1电源冗余备份或双电力备份功能，支持双电网供电，当其中一块电源失效后，另外一块电源继续工作，实现不间断供电；箱体支持1+1开关电源冗余热备份功能，任一链路断开或任一硬件故障都不影响正常显示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以上5-28需提供首页具有CMA、CNAS和ilac-MRA标识的检测报告证明，可通过二维码扫描查询验证检测报告真伪。</w:t>
            </w:r>
          </w:p>
        </w:tc>
        <w:tc>
          <w:tcPr>
            <w:tcW w:w="408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5.76</w:t>
            </w:r>
          </w:p>
        </w:tc>
        <w:tc>
          <w:tcPr>
            <w:tcW w:w="461" w:type="pct"/>
            <w:tcBorders>
              <w:lef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平方</w:t>
            </w:r>
          </w:p>
        </w:tc>
      </w:tr>
    </w:tbl>
    <w:p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修改为：</w:t>
      </w:r>
    </w:p>
    <w:tbl>
      <w:tblPr>
        <w:tblStyle w:val="4"/>
        <w:tblW w:w="4997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34"/>
        <w:gridCol w:w="5062"/>
        <w:gridCol w:w="767"/>
        <w:gridCol w:w="86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07" w:type="pct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16</w:t>
            </w:r>
          </w:p>
        </w:tc>
        <w:tc>
          <w:tcPr>
            <w:tcW w:w="1029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全彩LED显示屏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Han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Hans" w:bidi="ar"/>
              </w:rPr>
              <w:t>（核心产品）</w:t>
            </w:r>
          </w:p>
        </w:tc>
        <w:tc>
          <w:tcPr>
            <w:tcW w:w="2693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1.★点间距≤1.57mm；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2.★屏体尺寸：标准16：9；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3.★整屏分辨率宽≥2080点，高≥1160点；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4.像素密度：≥418888点/平方；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5.具备高效散热机构，电源通过导热板紧贴箱体结构，通过压铸铝箱体导热，无需开孔散热；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6.水平/垂直相对偏差：≤1%；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7.模块微调功能：支持以模组为单位进行三维调节，模块间精密微调，可以对任何一个模块进行亚亳米级的精细微调；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8.峰值功耗≤550W/㎡；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9.白平衡最大亮度：≥650cd/㎡；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10.视角：≥160°；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11.平整度：≤0.1mm；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12.亮度均匀性：≥97%；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13.像素失控率：≤1*10-6，无连续失控点；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14.色温：1000K－15000K可调；调节步长；100K，并可自定义色温值；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15.色温误差：色温为6500K时，100%、75%、50%、25%四档电平白场调节色温误差≤100K；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16.换帧频率：50Hz＆60Hz，支持120Hz等3D显示技术；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17.最高对比度：10000：1；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18.灰度等级：≥14bit；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19.色域≥120%NTSC；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20.刷新频率：≥3840Hz；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21.外壳防护等级：≥IP5X 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22.支持单点(逐点)色度和亮度校正；支持5套亮度级校正系数，多层校正及存储；支持出厂校正及现场校正；校正后亮度损失＜10%；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23.平均无故障时(MTBF)：≥100000小时；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24.模块表面处理采用电喷技术，黑色哑光处理，可有效防止反光和静电，无面罩设计，反光率≤1.5%；显示屏对比度高，屏幕表面采用无塑胶类结构件，屏体表面均匀，观看视角大，观看效果好，PCB及灯管热良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25.亮度调整：具有随环境照度的变化而自动亮度调整的功能,支持手动、自动、程控(0-100%可调)，支持无级调节；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26.数据存储：具有模块级亮度、色度校正数据的存储及回读功能；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27.低亮度高灰：支持灰阶控制技术，支持灰度8bit-22bit任意设置，亮度调节至100%时，灰度22bit;亮度调节至80%时，灰度为17bit;亮度调节至50%时，灰度为16bit;亮度调节至20%时，灰度为15bit；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28.屏体支持N+1电源冗余备份或双电力备份功能，支持双电网供电，当其中一块电源失效后，另外一块电源继续工作，实现不间断供电；箱体支持1+1开关电源冗余热备份功能，任一链路断开或任一硬件故障都不影响正常显示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以上7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15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17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23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24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需提供首页具有CMA或CNAS或ilac-MRA标识的检测报告证明，可通过二维码扫描查询验证检测报告真伪。</w:t>
            </w:r>
          </w:p>
        </w:tc>
        <w:tc>
          <w:tcPr>
            <w:tcW w:w="408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5.76</w:t>
            </w:r>
          </w:p>
        </w:tc>
        <w:tc>
          <w:tcPr>
            <w:tcW w:w="461" w:type="pct"/>
            <w:tcBorders>
              <w:lef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平方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2、第二节“技术要求”包一第（二）项“技术参数”第18款由</w:t>
      </w:r>
    </w:p>
    <w:tbl>
      <w:tblPr>
        <w:tblStyle w:val="4"/>
        <w:tblW w:w="4997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34"/>
        <w:gridCol w:w="5062"/>
        <w:gridCol w:w="767"/>
        <w:gridCol w:w="86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07" w:type="pct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18</w:t>
            </w:r>
          </w:p>
        </w:tc>
        <w:tc>
          <w:tcPr>
            <w:tcW w:w="1029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LED播控软件</w:t>
            </w:r>
          </w:p>
        </w:tc>
        <w:tc>
          <w:tcPr>
            <w:tcW w:w="2693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1.软件支持集成中控功能，实现对大屏幕的开关控制，提供集中式控制系统软件著作权证书；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2.软件支持故障检测功能，支持输入信号丢失检测，使用灰色标示，提供LED显示屏故障自诊断及排查软件软件著作权证书；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3.可在控制软件观看大屏回显，直接对UI中的可视化窗口进行操作；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4.支持移动终端软件控制，不用外加中控直接实现场景调取等功能；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5.登录功能：具有单一客户端、多个客户端登录功能，支持默认布局登录；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6.显示屏设置功能：支持添加、修改、删除LED显示屏；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7.场景轮循功能：支持添加、修改、删除场景轮循功，支持场景循环分组功能；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8.视频流媒体平台数据管理功能：支持视频流媒体平台数据对接。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Han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9.软件支持Windows操作系统和麒麟操作系统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Hans" w:bidi="ar"/>
              </w:rPr>
              <w:t>。</w:t>
            </w:r>
          </w:p>
        </w:tc>
        <w:tc>
          <w:tcPr>
            <w:tcW w:w="408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61" w:type="pct"/>
            <w:tcBorders>
              <w:lef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套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修改为：</w:t>
      </w:r>
    </w:p>
    <w:tbl>
      <w:tblPr>
        <w:tblStyle w:val="4"/>
        <w:tblW w:w="4997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34"/>
        <w:gridCol w:w="5062"/>
        <w:gridCol w:w="767"/>
        <w:gridCol w:w="86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07" w:type="pct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18</w:t>
            </w:r>
          </w:p>
        </w:tc>
        <w:tc>
          <w:tcPr>
            <w:tcW w:w="1029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LED播控软件</w:t>
            </w:r>
          </w:p>
        </w:tc>
        <w:tc>
          <w:tcPr>
            <w:tcW w:w="2693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软件支持集成中控功能，实现对大屏幕的开关控制，提供集中式控制系统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同类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软件著作权证书；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软件支持故障检测功能，支持输入信号丢失检测，使用相关标示，提供LED显示屏故障自诊断及排查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同类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软件著作权证书；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3.可在控制软件观看大屏回显，直接对UI中的可视化窗口进行操作；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4.支持移动终端软件控制，不用外加中控直接实现场景调取等功能；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5.登录功能：具有单一客户端、多个客户端登录功能，支持默认布局登录；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6.显示屏设置功能：支持添加、修改、删除LED显示屏；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7.场景轮循功能：支持添加、修改、删除场景轮循功，支持场景循环分组功能；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8.视频流媒体平台数据管理功能：支持视频流媒体平台数据对接。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Han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9.软件支持Windows操作系统和麒麟操作系统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Hans" w:bidi="ar"/>
              </w:rPr>
              <w:t>。</w:t>
            </w:r>
          </w:p>
        </w:tc>
        <w:tc>
          <w:tcPr>
            <w:tcW w:w="408" w:type="pct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61" w:type="pct"/>
            <w:tcBorders>
              <w:lef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lang w:val="en-US" w:eastAsia="zh-CN"/>
              </w:rPr>
              <w:t>套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u w:val="none"/>
          <w:lang w:val="en-US" w:eastAsia="zh-CN" w:bidi="ar-SA"/>
        </w:rPr>
        <w:t>删除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第三节“商务要求”包一第7项第3款“3）为保证知识产权，LED显示屏控制系统具有发送/接收处理主控芯片集成电路布图设计登记证书，提供证书复印件”要求。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 xml:space="preserve">  4、第三节“商务要求”包一第7项第4款由“数字会议主机（智能中控主机）具有数字会议主机管理软件软件著作权证书，提供证书复印件”修改为：“数字会议主机（智能中控主机）具有数字会议主机管理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u w:val="none"/>
          <w:lang w:val="en-US" w:eastAsia="zh-CN" w:bidi="ar-SA"/>
        </w:rPr>
        <w:t>同类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软件著作权证书，提供证书复印件”。</w:t>
      </w:r>
    </w:p>
    <w:sectPr>
      <w:pgSz w:w="11906" w:h="16838"/>
      <w:pgMar w:top="1361" w:right="1361" w:bottom="1361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017797"/>
    <w:multiLevelType w:val="singleLevel"/>
    <w:tmpl w:val="0301779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AEC0F7"/>
    <w:multiLevelType w:val="singleLevel"/>
    <w:tmpl w:val="37AEC0F7"/>
    <w:lvl w:ilvl="0" w:tentative="0">
      <w:start w:val="3"/>
      <w:numFmt w:val="decimal"/>
      <w:suff w:val="nothing"/>
      <w:lvlText w:val="%1、"/>
      <w:lvlJc w:val="left"/>
      <w:pPr>
        <w:ind w:left="28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0YTBmM2I1ODVmZWYzNDk0MTE1Nzg4Y2UzMTI4YzIifQ=="/>
  </w:docVars>
  <w:rsids>
    <w:rsidRoot w:val="7D54706D"/>
    <w:rsid w:val="0B163D2C"/>
    <w:rsid w:val="24441F92"/>
    <w:rsid w:val="5F460DAA"/>
    <w:rsid w:val="7D54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customStyle="1" w:styleId="6">
    <w:name w:val="列出段落1"/>
    <w:basedOn w:val="1"/>
    <w:next w:val="1"/>
    <w:qFormat/>
    <w:uiPriority w:val="0"/>
    <w:pPr>
      <w:widowControl/>
      <w:ind w:firstLine="420" w:firstLineChars="200"/>
      <w:jc w:val="left"/>
    </w:pPr>
    <w:rPr>
      <w:rFonts w:ascii="Cambria" w:hAnsi="Cambria" w:eastAsia="微软雅黑"/>
      <w:color w:val="595959"/>
      <w:kern w:val="20"/>
      <w:szCs w:val="20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2559</Words>
  <Characters>3076</Characters>
  <Lines>0</Lines>
  <Paragraphs>0</Paragraphs>
  <TotalTime>1</TotalTime>
  <ScaleCrop>false</ScaleCrop>
  <LinksUpToDate>false</LinksUpToDate>
  <CharactersWithSpaces>3080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2023-04-10T13:16:00Z</dcterms:created>
  <dc:creator>拾壹✨</dc:creator>
  <cp:lastModifiedBy>拾壹✨</cp:lastModifiedBy>
  <dcterms:modified xsi:type="dcterms:W3CDTF">2023-04-10T13:49:07Z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3EF7BDEA863745CB9BB0D4E6E0C8BED5</vt:lpwstr>
  </property>
</Properties>
</file>