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B7C537">
      <w:pPr>
        <w:spacing w:before="120"/>
        <w:contextualSpacing/>
        <w:rPr>
          <w:rFonts w:ascii="Times New Roman" w:hAnsi="Times New Roman" w:eastAsia="仿宋" w:cs="Times New Roman"/>
          <w:szCs w:val="21"/>
        </w:rPr>
      </w:pPr>
      <w:r>
        <w:rPr>
          <w:rFonts w:ascii="Times New Roman" w:hAnsi="Times New Roman" w:eastAsia="仿宋" w:cs="Times New Roman"/>
          <w:szCs w:val="21"/>
        </w:rPr>
        <w:t>（1）用途、功能要求</w:t>
      </w:r>
    </w:p>
    <w:p w14:paraId="6E15B541">
      <w:pPr>
        <w:pStyle w:val="14"/>
        <w:spacing w:before="0" w:beforeLines="0"/>
        <w:ind w:left="482" w:firstLine="0" w:firstLineChars="0"/>
        <w:contextualSpacing/>
        <w:rPr>
          <w:rFonts w:eastAsia="仿宋"/>
          <w:szCs w:val="21"/>
        </w:rPr>
      </w:pPr>
      <w:r>
        <w:rPr>
          <w:rFonts w:eastAsia="仿宋"/>
          <w:szCs w:val="21"/>
        </w:rPr>
        <w:t>六自由度实验教学平台</w:t>
      </w:r>
    </w:p>
    <w:p w14:paraId="51D77C7E">
      <w:pPr>
        <w:spacing w:before="156" w:beforeLines="50"/>
        <w:rPr>
          <w:rFonts w:ascii="Times New Roman" w:hAnsi="Times New Roman" w:eastAsia="仿宋" w:cs="Times New Roman"/>
          <w:szCs w:val="21"/>
        </w:rPr>
      </w:pPr>
      <w:r>
        <w:rPr>
          <w:rFonts w:ascii="Times New Roman" w:hAnsi="Times New Roman" w:eastAsia="仿宋" w:cs="Times New Roman"/>
          <w:szCs w:val="21"/>
        </w:rPr>
        <w:t>（2）六自由度加载系统主要参数如下：</w:t>
      </w:r>
    </w:p>
    <w:p w14:paraId="2DFB5AA7">
      <w:pPr>
        <w:ind w:firstLine="420" w:firstLineChars="200"/>
        <w:rPr>
          <w:rFonts w:ascii="Times New Roman" w:hAnsi="Times New Roman" w:eastAsia="仿宋" w:cs="Times New Roman"/>
          <w:kern w:val="24"/>
          <w:szCs w:val="21"/>
        </w:rPr>
      </w:pPr>
      <w:r>
        <w:rPr>
          <w:rFonts w:ascii="Times New Roman" w:hAnsi="Times New Roman" w:eastAsia="仿宋" w:cs="Times New Roman"/>
          <w:color w:val="C00000"/>
          <w:szCs w:val="21"/>
        </w:rPr>
        <w:t>1）</w:t>
      </w:r>
      <w:r>
        <w:rPr>
          <w:rFonts w:ascii="Times New Roman" w:hAnsi="Times New Roman" w:eastAsia="仿宋" w:cs="Times New Roman"/>
          <w:kern w:val="24"/>
          <w:szCs w:val="21"/>
        </w:rPr>
        <w:t>台面尺寸：1200mmx1200mm，台面尺寸偏差≤3mm；</w:t>
      </w:r>
    </w:p>
    <w:p w14:paraId="1673F540">
      <w:pPr>
        <w:ind w:firstLine="420" w:firstLineChars="200"/>
        <w:rPr>
          <w:rFonts w:ascii="Times New Roman" w:hAnsi="Times New Roman" w:eastAsia="仿宋" w:cs="Times New Roman"/>
          <w:szCs w:val="21"/>
        </w:rPr>
      </w:pPr>
      <w:r>
        <w:rPr>
          <w:rFonts w:ascii="Times New Roman" w:hAnsi="Times New Roman" w:eastAsia="仿宋" w:cs="Times New Roman"/>
          <w:color w:val="C00000"/>
          <w:kern w:val="24"/>
          <w:szCs w:val="21"/>
        </w:rPr>
        <w:t>2）</w:t>
      </w:r>
      <w:r>
        <w:rPr>
          <w:rFonts w:ascii="Times New Roman" w:hAnsi="Times New Roman" w:eastAsia="仿宋" w:cs="Times New Roman"/>
          <w:kern w:val="24"/>
          <w:szCs w:val="21"/>
        </w:rPr>
        <w:t>负载质量：</w:t>
      </w:r>
      <w:r>
        <w:rPr>
          <w:rFonts w:ascii="Times New Roman" w:hAnsi="Times New Roman" w:eastAsia="仿宋" w:cs="Times New Roman"/>
          <w:szCs w:val="21"/>
        </w:rPr>
        <w:t>≥500kg(含台面)；</w:t>
      </w:r>
    </w:p>
    <w:p w14:paraId="407FC2C3">
      <w:pPr>
        <w:ind w:firstLine="420" w:firstLineChars="200"/>
        <w:rPr>
          <w:rFonts w:ascii="Times New Roman" w:hAnsi="Times New Roman" w:eastAsia="仿宋" w:cs="Times New Roman"/>
          <w:szCs w:val="21"/>
        </w:rPr>
      </w:pPr>
      <w:r>
        <w:rPr>
          <w:rFonts w:ascii="Times New Roman" w:hAnsi="Times New Roman" w:eastAsia="仿宋" w:cs="Times New Roman"/>
          <w:color w:val="C00000"/>
          <w:szCs w:val="21"/>
        </w:rPr>
        <w:t>3）</w:t>
      </w:r>
      <w:r>
        <w:rPr>
          <w:rFonts w:ascii="Times New Roman" w:hAnsi="Times New Roman" w:eastAsia="仿宋" w:cs="Times New Roman"/>
          <w:kern w:val="24"/>
          <w:szCs w:val="21"/>
        </w:rPr>
        <w:t>自由度：六自由度；</w:t>
      </w:r>
    </w:p>
    <w:p w14:paraId="0158FCE4">
      <w:pPr>
        <w:ind w:firstLine="420" w:firstLineChars="200"/>
        <w:rPr>
          <w:rFonts w:ascii="Times New Roman" w:hAnsi="Times New Roman" w:eastAsia="仿宋" w:cs="Times New Roman"/>
          <w:szCs w:val="21"/>
        </w:rPr>
      </w:pPr>
      <w:r>
        <w:rPr>
          <w:rFonts w:ascii="Times New Roman" w:hAnsi="Times New Roman" w:eastAsia="仿宋" w:cs="Times New Roman"/>
          <w:color w:val="C00000"/>
          <w:szCs w:val="21"/>
        </w:rPr>
        <w:t>4）</w:t>
      </w:r>
      <w:r>
        <w:rPr>
          <w:rFonts w:ascii="Times New Roman" w:hAnsi="Times New Roman" w:eastAsia="仿宋" w:cs="Times New Roman"/>
          <w:kern w:val="24"/>
          <w:szCs w:val="21"/>
        </w:rPr>
        <w:t>最大</w:t>
      </w:r>
      <w:r>
        <w:rPr>
          <w:rFonts w:hint="eastAsia" w:ascii="Times New Roman" w:hAnsi="Times New Roman" w:eastAsia="仿宋" w:cs="Times New Roman"/>
          <w:kern w:val="24"/>
          <w:szCs w:val="21"/>
        </w:rPr>
        <w:t>位移</w:t>
      </w:r>
      <w:r>
        <w:rPr>
          <w:rFonts w:ascii="Times New Roman" w:hAnsi="Times New Roman" w:eastAsia="仿宋" w:cs="Times New Roman"/>
          <w:kern w:val="24"/>
          <w:szCs w:val="21"/>
        </w:rPr>
        <w:t>：X/Y：≥±150mm；Z：≥±100mm；转角范围:±15°</w:t>
      </w:r>
      <w:r>
        <w:rPr>
          <w:rFonts w:hint="eastAsia" w:ascii="Times New Roman" w:hAnsi="Times New Roman" w:eastAsia="仿宋" w:cs="Times New Roman"/>
          <w:kern w:val="24"/>
          <w:szCs w:val="21"/>
        </w:rPr>
        <w:t>；</w:t>
      </w:r>
    </w:p>
    <w:p w14:paraId="3C576F63">
      <w:pPr>
        <w:ind w:firstLine="420" w:firstLineChars="200"/>
        <w:rPr>
          <w:rFonts w:hint="eastAsia" w:ascii="Times New Roman" w:hAnsi="Times New Roman" w:eastAsia="仿宋" w:cs="Times New Roman"/>
          <w:szCs w:val="21"/>
        </w:rPr>
      </w:pPr>
      <w:r>
        <w:rPr>
          <w:rFonts w:ascii="Times New Roman" w:hAnsi="Times New Roman" w:eastAsia="仿宋" w:cs="Times New Roman"/>
          <w:color w:val="C00000"/>
          <w:szCs w:val="21"/>
        </w:rPr>
        <w:t>5）</w:t>
      </w:r>
      <w:r>
        <w:rPr>
          <w:rFonts w:ascii="Times New Roman" w:hAnsi="Times New Roman" w:eastAsia="仿宋" w:cs="Times New Roman"/>
          <w:kern w:val="24"/>
          <w:szCs w:val="21"/>
        </w:rPr>
        <w:t>重复</w:t>
      </w:r>
      <w:r>
        <w:rPr>
          <w:rFonts w:hint="eastAsia" w:ascii="Times New Roman" w:hAnsi="Times New Roman" w:eastAsia="仿宋" w:cs="Times New Roman"/>
          <w:kern w:val="24"/>
          <w:szCs w:val="21"/>
        </w:rPr>
        <w:t>速度</w:t>
      </w:r>
      <w:r>
        <w:rPr>
          <w:rFonts w:ascii="Times New Roman" w:hAnsi="Times New Roman" w:eastAsia="仿宋" w:cs="Times New Roman"/>
          <w:kern w:val="24"/>
          <w:szCs w:val="21"/>
        </w:rPr>
        <w:t>：X/Y：≥±0.25m/s；Z：≥±0.25m/s</w:t>
      </w:r>
      <w:r>
        <w:rPr>
          <w:rFonts w:hint="eastAsia" w:ascii="Times New Roman" w:hAnsi="Times New Roman" w:eastAsia="仿宋" w:cs="Times New Roman"/>
          <w:kern w:val="24"/>
          <w:szCs w:val="21"/>
        </w:rPr>
        <w:t>；</w:t>
      </w:r>
    </w:p>
    <w:p w14:paraId="5DB9E658">
      <w:pPr>
        <w:ind w:firstLine="420" w:firstLineChars="200"/>
        <w:rPr>
          <w:rFonts w:ascii="Times New Roman" w:hAnsi="Times New Roman" w:eastAsia="仿宋" w:cs="Times New Roman"/>
          <w:szCs w:val="21"/>
        </w:rPr>
      </w:pPr>
      <w:r>
        <w:rPr>
          <w:rFonts w:ascii="Times New Roman" w:hAnsi="Times New Roman" w:eastAsia="仿宋" w:cs="Times New Roman"/>
          <w:color w:val="C00000"/>
          <w:szCs w:val="21"/>
        </w:rPr>
        <w:t>6）</w:t>
      </w:r>
      <w:r>
        <w:rPr>
          <w:rFonts w:ascii="Times New Roman" w:hAnsi="Times New Roman" w:eastAsia="仿宋" w:cs="Times New Roman"/>
          <w:kern w:val="24"/>
          <w:szCs w:val="21"/>
        </w:rPr>
        <w:t>最大加速度：</w:t>
      </w:r>
      <w:r>
        <w:rPr>
          <w:rFonts w:ascii="Times New Roman" w:hAnsi="Times New Roman" w:eastAsia="仿宋" w:cs="Times New Roman"/>
          <w:color w:val="000000" w:themeColor="text1"/>
          <w:kern w:val="24"/>
          <w:szCs w:val="21"/>
        </w:rPr>
        <w:t>≥14.7m/s²</w:t>
      </w:r>
      <w:r>
        <w:rPr>
          <w:rFonts w:hint="eastAsia" w:ascii="Times New Roman" w:hAnsi="Times New Roman" w:eastAsia="仿宋" w:cs="Times New Roman"/>
          <w:color w:val="000000" w:themeColor="text1"/>
          <w:kern w:val="24"/>
          <w:szCs w:val="21"/>
        </w:rPr>
        <w:t>；</w:t>
      </w:r>
    </w:p>
    <w:p w14:paraId="7CA6A2DA">
      <w:pPr>
        <w:ind w:firstLine="420" w:firstLineChars="200"/>
        <w:rPr>
          <w:rFonts w:ascii="Times New Roman" w:hAnsi="Times New Roman" w:eastAsia="仿宋" w:cs="Times New Roman"/>
          <w:szCs w:val="21"/>
        </w:rPr>
      </w:pPr>
      <w:r>
        <w:rPr>
          <w:rFonts w:ascii="Times New Roman" w:hAnsi="Times New Roman" w:eastAsia="仿宋" w:cs="Times New Roman"/>
          <w:color w:val="C00000"/>
          <w:szCs w:val="21"/>
        </w:rPr>
        <w:t>7）</w:t>
      </w:r>
      <w:r>
        <w:rPr>
          <w:rFonts w:ascii="Times New Roman" w:hAnsi="Times New Roman" w:eastAsia="仿宋" w:cs="Times New Roman"/>
          <w:kern w:val="24"/>
          <w:szCs w:val="21"/>
        </w:rPr>
        <w:t>重复定位精度：≤0.02mm</w:t>
      </w:r>
      <w:r>
        <w:rPr>
          <w:rFonts w:hint="eastAsia" w:ascii="Times New Roman" w:hAnsi="Times New Roman" w:eastAsia="仿宋" w:cs="Times New Roman"/>
          <w:kern w:val="24"/>
          <w:szCs w:val="21"/>
        </w:rPr>
        <w:t>；</w:t>
      </w:r>
    </w:p>
    <w:p w14:paraId="6766B20B">
      <w:pPr>
        <w:ind w:firstLine="420" w:firstLineChars="200"/>
        <w:rPr>
          <w:rFonts w:ascii="Times New Roman" w:hAnsi="Times New Roman" w:eastAsia="仿宋" w:cs="Times New Roman"/>
          <w:sz w:val="24"/>
          <w:szCs w:val="24"/>
        </w:rPr>
      </w:pPr>
      <w:r>
        <w:rPr>
          <w:rFonts w:ascii="Times New Roman" w:hAnsi="Times New Roman" w:eastAsia="仿宋" w:cs="Times New Roman"/>
          <w:color w:val="C00000"/>
          <w:szCs w:val="21"/>
        </w:rPr>
        <w:t>8）</w:t>
      </w:r>
      <w:r>
        <w:rPr>
          <w:rFonts w:ascii="Times New Roman" w:hAnsi="Times New Roman" w:eastAsia="仿宋" w:cs="Times New Roman"/>
          <w:kern w:val="24"/>
          <w:szCs w:val="21"/>
        </w:rPr>
        <w:t>采集通道：提供至少16路模拟量通道以及8路数字量通道</w:t>
      </w:r>
      <w:r>
        <w:rPr>
          <w:rFonts w:hint="eastAsia" w:ascii="Times New Roman" w:hAnsi="Times New Roman" w:eastAsia="仿宋" w:cs="Times New Roman"/>
          <w:kern w:val="24"/>
          <w:szCs w:val="21"/>
        </w:rPr>
        <w:t>；</w:t>
      </w:r>
    </w:p>
    <w:p w14:paraId="17EC7F78">
      <w:pPr>
        <w:spacing w:before="156" w:beforeLines="50"/>
        <w:rPr>
          <w:rFonts w:ascii="Times New Roman" w:hAnsi="Times New Roman" w:eastAsia="仿宋" w:cs="Times New Roman"/>
          <w:szCs w:val="21"/>
        </w:rPr>
      </w:pPr>
      <w:r>
        <w:rPr>
          <w:rFonts w:ascii="Times New Roman" w:hAnsi="Times New Roman" w:eastAsia="仿宋" w:cs="Times New Roman"/>
          <w:szCs w:val="21"/>
        </w:rPr>
        <w:t>（3）提供常用的备品备件及检修工具一套。</w:t>
      </w:r>
    </w:p>
    <w:p w14:paraId="66E2EAA5">
      <w:pPr>
        <w:pStyle w:val="14"/>
        <w:ind w:firstLine="0" w:firstLineChars="0"/>
        <w:contextualSpacing/>
        <w:rPr>
          <w:rFonts w:eastAsia="仿宋"/>
          <w:szCs w:val="21"/>
        </w:rPr>
      </w:pPr>
      <w:r>
        <w:rPr>
          <w:rFonts w:eastAsia="仿宋"/>
          <w:szCs w:val="21"/>
        </w:rPr>
        <w:t>（4）六自由度实验教学平台为电机伺服驱动闭环控制试验教学系统，由数字控制系统硬件与软件、电控柜、工控机、台面等组成。详细技术要求如下：</w:t>
      </w:r>
    </w:p>
    <w:p w14:paraId="2A50A3CB">
      <w:pPr>
        <w:pStyle w:val="14"/>
        <w:contextualSpacing/>
        <w:rPr>
          <w:rFonts w:eastAsia="仿宋"/>
          <w:szCs w:val="21"/>
        </w:rPr>
      </w:pPr>
      <w:r>
        <w:rPr>
          <w:rFonts w:eastAsia="仿宋"/>
          <w:szCs w:val="21"/>
        </w:rPr>
        <w:t>1）作动器采用正交式布置方式，台子作动器数量为6个</w:t>
      </w:r>
    </w:p>
    <w:p w14:paraId="72A87324">
      <w:pPr>
        <w:pStyle w:val="14"/>
        <w:contextualSpacing/>
        <w:rPr>
          <w:rFonts w:eastAsia="仿宋"/>
          <w:szCs w:val="21"/>
        </w:rPr>
      </w:pPr>
      <w:r>
        <w:rPr>
          <w:rFonts w:eastAsia="仿宋"/>
          <w:szCs w:val="21"/>
        </w:rPr>
        <w:t>2）控制系统硬件：</w:t>
      </w:r>
    </w:p>
    <w:p w14:paraId="43562876">
      <w:pPr>
        <w:pStyle w:val="14"/>
        <w:contextualSpacing/>
        <w:rPr>
          <w:rFonts w:eastAsia="仿宋"/>
          <w:szCs w:val="21"/>
        </w:rPr>
      </w:pPr>
      <w:r>
        <w:rPr>
          <w:rFonts w:hint="eastAsia" w:ascii="宋体" w:hAnsi="宋体" w:cs="宋体"/>
          <w:szCs w:val="21"/>
        </w:rPr>
        <w:t>①</w:t>
      </w:r>
      <w:r>
        <w:rPr>
          <w:rFonts w:eastAsia="仿宋"/>
          <w:szCs w:val="21"/>
        </w:rPr>
        <w:t>整个系统应采用计算机数字控制，控制系统硬件为已投入市场的成熟可靠的产品(提供业绩证明材料)。</w:t>
      </w:r>
    </w:p>
    <w:p w14:paraId="5B5AFE6C">
      <w:pPr>
        <w:pStyle w:val="14"/>
        <w:contextualSpacing/>
        <w:rPr>
          <w:rFonts w:eastAsia="仿宋"/>
          <w:szCs w:val="21"/>
        </w:rPr>
      </w:pPr>
      <w:r>
        <w:rPr>
          <w:rFonts w:hint="eastAsia" w:ascii="宋体" w:hAnsi="宋体" w:cs="宋体"/>
          <w:szCs w:val="21"/>
        </w:rPr>
        <w:t>②</w:t>
      </w:r>
      <w:r>
        <w:rPr>
          <w:rFonts w:eastAsia="仿宋"/>
          <w:szCs w:val="21"/>
        </w:rPr>
        <w:t xml:space="preserve"> 控制系统实现位移模式的自由度控制。包括：正弦等周期波、人工拟合波、随机波的控制。</w:t>
      </w:r>
    </w:p>
    <w:p w14:paraId="4CDF60FB">
      <w:pPr>
        <w:pStyle w:val="14"/>
        <w:contextualSpacing/>
        <w:rPr>
          <w:rFonts w:eastAsia="仿宋"/>
          <w:szCs w:val="21"/>
        </w:rPr>
      </w:pPr>
      <w:r>
        <w:rPr>
          <w:rFonts w:hint="eastAsia" w:ascii="宋体" w:hAnsi="宋体" w:cs="宋体"/>
          <w:szCs w:val="21"/>
        </w:rPr>
        <w:t>③</w:t>
      </w:r>
      <w:r>
        <w:rPr>
          <w:rFonts w:eastAsia="仿宋"/>
          <w:szCs w:val="21"/>
        </w:rPr>
        <w:t xml:space="preserve"> 系统应具有完善的保护。控制软件应能方便地设置各类安全保护参数，并能及时显示各类危险警示。应至少包含2个急停开关，分别设于控制室、试验台旁。</w:t>
      </w:r>
    </w:p>
    <w:p w14:paraId="30985EAB">
      <w:pPr>
        <w:pStyle w:val="14"/>
        <w:contextualSpacing/>
        <w:rPr>
          <w:rFonts w:eastAsia="仿宋"/>
          <w:szCs w:val="21"/>
        </w:rPr>
      </w:pPr>
      <w:r>
        <w:rPr>
          <w:rFonts w:eastAsia="仿宋"/>
          <w:szCs w:val="21"/>
        </w:rPr>
        <w:t>3）控制系统软件</w:t>
      </w:r>
    </w:p>
    <w:p w14:paraId="607485A9">
      <w:pPr>
        <w:pStyle w:val="14"/>
        <w:contextualSpacing/>
        <w:rPr>
          <w:rFonts w:eastAsia="仿宋"/>
          <w:szCs w:val="21"/>
        </w:rPr>
      </w:pPr>
      <w:r>
        <w:rPr>
          <w:rFonts w:hint="eastAsia" w:ascii="宋体" w:hAnsi="宋体" w:cs="宋体"/>
          <w:szCs w:val="21"/>
        </w:rPr>
        <w:t>①</w:t>
      </w:r>
      <w:r>
        <w:rPr>
          <w:rFonts w:eastAsia="仿宋"/>
          <w:szCs w:val="21"/>
        </w:rPr>
        <w:t>控制系统软件基于WINDOWS操作系统。</w:t>
      </w:r>
    </w:p>
    <w:p w14:paraId="71387F6E">
      <w:pPr>
        <w:pStyle w:val="14"/>
        <w:contextualSpacing/>
        <w:rPr>
          <w:rFonts w:eastAsia="仿宋"/>
          <w:szCs w:val="21"/>
        </w:rPr>
      </w:pPr>
      <w:r>
        <w:rPr>
          <w:rFonts w:hint="eastAsia" w:ascii="宋体" w:hAnsi="宋体" w:cs="宋体"/>
          <w:szCs w:val="21"/>
        </w:rPr>
        <w:t>②</w:t>
      </w:r>
      <w:r>
        <w:rPr>
          <w:rFonts w:eastAsia="仿宋"/>
          <w:szCs w:val="21"/>
        </w:rPr>
        <w:t xml:space="preserve"> 应能进行法规认证振动试验，配备振动试验控制软件包，包括波形生成软件。</w:t>
      </w:r>
    </w:p>
    <w:p w14:paraId="1F7D9367">
      <w:pPr>
        <w:pStyle w:val="14"/>
        <w:contextualSpacing/>
        <w:rPr>
          <w:rFonts w:eastAsia="仿宋"/>
          <w:szCs w:val="21"/>
        </w:rPr>
      </w:pPr>
      <w:r>
        <w:rPr>
          <w:rFonts w:hint="eastAsia" w:ascii="宋体" w:hAnsi="宋体" w:cs="宋体"/>
          <w:szCs w:val="21"/>
        </w:rPr>
        <w:t>③</w:t>
      </w:r>
      <w:r>
        <w:rPr>
          <w:rFonts w:eastAsia="仿宋"/>
          <w:szCs w:val="21"/>
        </w:rPr>
        <w:t xml:space="preserve"> 控制系统软件应具有非常方便的控制操作界面，并且可以方便地开窗显示各类数据参数。</w:t>
      </w:r>
    </w:p>
    <w:p w14:paraId="2F8C9463">
      <w:pPr>
        <w:pStyle w:val="14"/>
        <w:contextualSpacing/>
        <w:rPr>
          <w:rFonts w:eastAsia="仿宋"/>
          <w:szCs w:val="21"/>
        </w:rPr>
      </w:pPr>
      <w:r>
        <w:rPr>
          <w:rFonts w:hint="eastAsia" w:ascii="宋体" w:hAnsi="宋体" w:cs="宋体"/>
          <w:szCs w:val="21"/>
        </w:rPr>
        <w:t>④</w:t>
      </w:r>
      <w:r>
        <w:rPr>
          <w:rFonts w:eastAsia="仿宋"/>
          <w:szCs w:val="21"/>
        </w:rPr>
        <w:t xml:space="preserve"> 控制系统软件应提供分频迭代功能，根据不同频率段选择合适的控制方式，提高控制精度，需提供相应软件截图</w:t>
      </w:r>
    </w:p>
    <w:p w14:paraId="3F2555C2">
      <w:pPr>
        <w:pStyle w:val="14"/>
        <w:contextualSpacing/>
        <w:rPr>
          <w:rFonts w:eastAsia="仿宋"/>
          <w:szCs w:val="21"/>
        </w:rPr>
      </w:pPr>
      <w:r>
        <w:rPr>
          <w:rFonts w:eastAsia="仿宋"/>
          <w:szCs w:val="21"/>
        </w:rPr>
        <w:t>4）动态作动器</w:t>
      </w:r>
    </w:p>
    <w:p w14:paraId="1657CB5F">
      <w:pPr>
        <w:pStyle w:val="14"/>
        <w:contextualSpacing/>
        <w:rPr>
          <w:rFonts w:eastAsia="仿宋"/>
          <w:szCs w:val="21"/>
        </w:rPr>
      </w:pPr>
      <w:r>
        <w:rPr>
          <w:rFonts w:hint="eastAsia" w:ascii="宋体" w:hAnsi="宋体" w:cs="宋体"/>
          <w:szCs w:val="21"/>
        </w:rPr>
        <w:t>①</w:t>
      </w:r>
      <w:r>
        <w:rPr>
          <w:rFonts w:eastAsia="仿宋"/>
          <w:szCs w:val="21"/>
        </w:rPr>
        <w:t xml:space="preserve"> 作动器所有部件的设计应按疲劳强度寿命设计，所有轴承材料在整个使用期限内免维护。</w:t>
      </w:r>
    </w:p>
    <w:p w14:paraId="4121B176">
      <w:pPr>
        <w:pStyle w:val="14"/>
        <w:contextualSpacing/>
        <w:rPr>
          <w:rFonts w:eastAsia="仿宋"/>
          <w:szCs w:val="21"/>
        </w:rPr>
      </w:pPr>
      <w:r>
        <w:rPr>
          <w:rFonts w:hint="eastAsia" w:ascii="宋体" w:hAnsi="宋体" w:cs="宋体"/>
          <w:szCs w:val="21"/>
        </w:rPr>
        <w:t>②</w:t>
      </w:r>
      <w:r>
        <w:rPr>
          <w:rFonts w:eastAsia="仿宋"/>
          <w:szCs w:val="21"/>
        </w:rPr>
        <w:t xml:space="preserve"> 作动器数量要求：台子所配作动器数量为6套，以满足六自由度加载需要。</w:t>
      </w:r>
    </w:p>
    <w:p w14:paraId="44A1CD50">
      <w:pPr>
        <w:pStyle w:val="14"/>
        <w:contextualSpacing/>
        <w:rPr>
          <w:rFonts w:eastAsia="仿宋"/>
          <w:szCs w:val="21"/>
        </w:rPr>
      </w:pPr>
      <w:r>
        <w:rPr>
          <w:rFonts w:hint="eastAsia" w:ascii="宋体" w:hAnsi="宋体" w:cs="宋体"/>
          <w:szCs w:val="21"/>
        </w:rPr>
        <w:t>③</w:t>
      </w:r>
      <w:r>
        <w:rPr>
          <w:rFonts w:eastAsia="仿宋"/>
          <w:szCs w:val="21"/>
        </w:rPr>
        <w:t xml:space="preserve"> 作动器应采用双出杆，内置双端静压轴承，以保证作动器内部摩擦力接近零。</w:t>
      </w:r>
    </w:p>
    <w:p w14:paraId="0E4E60EA">
      <w:pPr>
        <w:pStyle w:val="14"/>
        <w:contextualSpacing/>
        <w:rPr>
          <w:rFonts w:eastAsia="仿宋"/>
          <w:szCs w:val="21"/>
        </w:rPr>
      </w:pPr>
      <w:r>
        <w:rPr>
          <w:rFonts w:eastAsia="仿宋"/>
          <w:szCs w:val="21"/>
        </w:rPr>
        <w:t>5）振动台台面</w:t>
      </w:r>
    </w:p>
    <w:p w14:paraId="6FE8A53B">
      <w:pPr>
        <w:pStyle w:val="14"/>
        <w:spacing w:before="0" w:beforeLines="0"/>
        <w:contextualSpacing/>
        <w:rPr>
          <w:rFonts w:eastAsia="仿宋"/>
          <w:szCs w:val="21"/>
        </w:rPr>
      </w:pPr>
      <w:r>
        <w:rPr>
          <w:rFonts w:hint="eastAsia" w:ascii="宋体" w:hAnsi="宋体" w:cs="宋体"/>
          <w:szCs w:val="21"/>
        </w:rPr>
        <w:t>①</w:t>
      </w:r>
      <w:r>
        <w:rPr>
          <w:rFonts w:eastAsia="仿宋"/>
          <w:szCs w:val="21"/>
        </w:rPr>
        <w:t>振动台台面的平整度应优于±0.5mm/m。</w:t>
      </w:r>
    </w:p>
    <w:p w14:paraId="4B17B96D">
      <w:pPr>
        <w:ind w:firstLine="420" w:firstLineChars="200"/>
        <w:rPr>
          <w:rFonts w:ascii="Times New Roman" w:hAnsi="Times New Roman" w:eastAsia="仿宋" w:cs="Times New Roman"/>
          <w:sz w:val="24"/>
          <w:szCs w:val="24"/>
        </w:rPr>
      </w:pPr>
      <w:r>
        <w:rPr>
          <w:rFonts w:hint="eastAsia" w:ascii="宋体" w:hAnsi="宋体" w:eastAsia="宋体" w:cs="宋体"/>
          <w:color w:val="C00000"/>
          <w:szCs w:val="21"/>
        </w:rPr>
        <w:t>②</w:t>
      </w:r>
      <w:r>
        <w:rPr>
          <w:rFonts w:ascii="Times New Roman" w:hAnsi="Times New Roman" w:eastAsia="仿宋" w:cs="Times New Roman"/>
          <w:szCs w:val="21"/>
        </w:rPr>
        <w:t>台面上应预留螺</w:t>
      </w:r>
      <w:bookmarkStart w:id="0" w:name="_GoBack"/>
      <w:bookmarkEnd w:id="0"/>
      <w:r>
        <w:rPr>
          <w:rFonts w:ascii="Times New Roman" w:hAnsi="Times New Roman" w:eastAsia="仿宋" w:cs="Times New Roman"/>
          <w:szCs w:val="21"/>
        </w:rPr>
        <w:t>栓孔，其孔径和间距应能满足最大质量模型的固定要求。</w:t>
      </w:r>
    </w:p>
    <w:p w14:paraId="68316123">
      <w:pPr>
        <w:ind w:firstLine="480" w:firstLineChars="200"/>
        <w:rPr>
          <w:rFonts w:ascii="Times New Roman" w:hAnsi="Times New Roman" w:eastAsia="仿宋" w:cs="Times New Roman"/>
          <w:sz w:val="24"/>
          <w:szCs w:val="24"/>
        </w:rPr>
      </w:pPr>
    </w:p>
    <w:p w14:paraId="1CFD2E56">
      <w:pPr>
        <w:rPr>
          <w:rFonts w:ascii="Times New Roman" w:hAnsi="Times New Roman" w:eastAsia="仿宋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2"/>
  </w:compat>
  <w:rsids>
    <w:rsidRoot w:val="00E63F6B"/>
    <w:rsid w:val="00086E2E"/>
    <w:rsid w:val="001C2E31"/>
    <w:rsid w:val="002B03CA"/>
    <w:rsid w:val="003471A7"/>
    <w:rsid w:val="00417017"/>
    <w:rsid w:val="004C3752"/>
    <w:rsid w:val="00582C30"/>
    <w:rsid w:val="005D34F9"/>
    <w:rsid w:val="00697980"/>
    <w:rsid w:val="0071417C"/>
    <w:rsid w:val="008431C8"/>
    <w:rsid w:val="0095419E"/>
    <w:rsid w:val="00A92645"/>
    <w:rsid w:val="00BD6585"/>
    <w:rsid w:val="00D33668"/>
    <w:rsid w:val="00E63F6B"/>
    <w:rsid w:val="65F1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table" w:styleId="9">
    <w:name w:val="Table Grid"/>
    <w:basedOn w:val="8"/>
    <w:qFormat/>
    <w:uiPriority w:val="0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annotation reference"/>
    <w:basedOn w:val="10"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10"/>
    <w:link w:val="5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4"/>
    <w:qFormat/>
    <w:uiPriority w:val="99"/>
    <w:rPr>
      <w:sz w:val="18"/>
      <w:szCs w:val="18"/>
    </w:rPr>
  </w:style>
  <w:style w:type="paragraph" w:styleId="14">
    <w:name w:val="List Paragraph"/>
    <w:basedOn w:val="1"/>
    <w:unhideWhenUsed/>
    <w:qFormat/>
    <w:uiPriority w:val="34"/>
    <w:pPr>
      <w:autoSpaceDN w:val="0"/>
      <w:snapToGrid w:val="0"/>
      <w:spacing w:before="156" w:beforeLines="50"/>
      <w:ind w:firstLine="420" w:firstLineChars="200"/>
      <w:jc w:val="left"/>
    </w:pPr>
    <w:rPr>
      <w:rFonts w:ascii="Times New Roman" w:hAnsi="Times New Roman" w:eastAsia="宋体" w:cs="Times New Roman"/>
      <w:szCs w:val="24"/>
    </w:rPr>
  </w:style>
  <w:style w:type="character" w:customStyle="1" w:styleId="15">
    <w:name w:val="批注文字 字符"/>
    <w:basedOn w:val="10"/>
    <w:link w:val="2"/>
    <w:semiHidden/>
    <w:qFormat/>
    <w:uiPriority w:val="99"/>
  </w:style>
  <w:style w:type="character" w:customStyle="1" w:styleId="16">
    <w:name w:val="批注主题 字符"/>
    <w:basedOn w:val="15"/>
    <w:link w:val="7"/>
    <w:semiHidden/>
    <w:qFormat/>
    <w:uiPriority w:val="99"/>
    <w:rPr>
      <w:b/>
      <w:bCs/>
    </w:rPr>
  </w:style>
  <w:style w:type="character" w:customStyle="1" w:styleId="17">
    <w:name w:val="批注框文本 字符"/>
    <w:basedOn w:val="10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771</Words>
  <Characters>856</Characters>
  <Lines>6</Lines>
  <Paragraphs>1</Paragraphs>
  <TotalTime>21</TotalTime>
  <ScaleCrop>false</ScaleCrop>
  <LinksUpToDate>false</LinksUpToDate>
  <CharactersWithSpaces>864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2025-10-14T07:07:00Z</dcterms:created>
  <dc:creator>Darren Lee</dc:creator>
  <cp:lastModifiedBy>段池</cp:lastModifiedBy>
  <dcterms:modified xsi:type="dcterms:W3CDTF">2026-03-20T01:07:21Z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dc60da80-be4d-4ac0-b41f-4bde49e6e080</vt:lpwstr>
  </property>
  <property fmtid="{D5CDD505-2E9C-101B-9397-08002B2CF9AE}" pid="3" name="KSOTemplateDocerSaveRecord">
    <vt:lpwstr>eyJoZGlkIjoiMmVkMDYxNzg5YmJlZTUyODViYzkzNjVhMDVhMDUzYTYiLCJ1c2VySWQiOiIxNjg1MTkxNzc3In0=</vt:lpwstr>
  </property>
  <property fmtid="{D5CDD505-2E9C-101B-9397-08002B2CF9AE}" pid="4" name="KSOProductBuildVer">
    <vt:lpwstr>2052-12.1.0.22529</vt:lpwstr>
  </property>
  <property fmtid="{D5CDD505-2E9C-101B-9397-08002B2CF9AE}" pid="5" name="ICV">
    <vt:lpwstr>10738FC9BE34465CB6E2AFFE5FACAAC8_12</vt:lpwstr>
  </property>
</Properties>
</file>