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F2AF5">
      <w:pPr>
        <w:spacing w:line="360" w:lineRule="auto"/>
        <w:jc w:val="left"/>
        <w:rPr>
          <w:rFonts w:ascii="Times New Roman" w:hAnsi="Times New Roman" w:eastAsia="黑体" w:cs="仿宋"/>
          <w:b/>
          <w:bCs/>
          <w:iCs/>
          <w:sz w:val="28"/>
          <w:szCs w:val="28"/>
        </w:rPr>
      </w:pPr>
      <w:r>
        <w:rPr>
          <w:rFonts w:hint="eastAsia" w:ascii="Times New Roman" w:hAnsi="Times New Roman" w:eastAsia="黑体" w:cs="仿宋"/>
          <w:b/>
          <w:bCs/>
          <w:iCs/>
          <w:sz w:val="28"/>
          <w:szCs w:val="28"/>
        </w:rPr>
        <w:t>附件</w:t>
      </w:r>
      <w:r>
        <w:rPr>
          <w:rFonts w:ascii="Times New Roman" w:hAnsi="Times New Roman" w:eastAsia="黑体" w:cs="仿宋"/>
          <w:b/>
          <w:bCs/>
          <w:iCs/>
          <w:sz w:val="28"/>
          <w:szCs w:val="28"/>
        </w:rPr>
        <w:t>4：</w:t>
      </w:r>
    </w:p>
    <w:p w14:paraId="6E1FAEE0">
      <w:pPr>
        <w:spacing w:before="312" w:beforeLines="100" w:after="312" w:afterLines="100" w:line="360" w:lineRule="auto"/>
        <w:jc w:val="center"/>
        <w:rPr>
          <w:rFonts w:ascii="Times New Roman" w:hAnsi="Times New Roman" w:eastAsia="黑体" w:cs="黑体"/>
          <w:b/>
          <w:bCs/>
          <w:sz w:val="36"/>
          <w:szCs w:val="36"/>
        </w:rPr>
      </w:pPr>
      <w:r>
        <w:rPr>
          <w:rFonts w:hint="eastAsia" w:ascii="Times New Roman" w:hAnsi="Times New Roman" w:eastAsia="黑体" w:cs="黑体"/>
          <w:b/>
          <w:bCs/>
          <w:sz w:val="36"/>
          <w:szCs w:val="36"/>
        </w:rPr>
        <w:t>中南大学采购需求表单</w:t>
      </w:r>
      <w:r>
        <w:rPr>
          <w:rFonts w:ascii="Times New Roman" w:hAnsi="Times New Roman" w:eastAsia="黑体" w:cs="黑体"/>
          <w:b/>
          <w:bCs/>
          <w:sz w:val="36"/>
          <w:szCs w:val="36"/>
        </w:rPr>
        <w:t>(货物类)</w:t>
      </w:r>
    </w:p>
    <w:p w14:paraId="5084B837">
      <w:pPr>
        <w:spacing w:before="312" w:beforeLines="100" w:after="312" w:afterLines="100" w:line="360" w:lineRule="auto"/>
        <w:jc w:val="center"/>
        <w:rPr>
          <w:rFonts w:ascii="Times New Roman" w:hAnsi="Times New Roman" w:eastAsia="黑体" w:cs="黑体"/>
          <w:b/>
          <w:bCs/>
          <w:sz w:val="36"/>
          <w:szCs w:val="36"/>
        </w:rPr>
      </w:pPr>
      <w:r>
        <w:rPr>
          <w:rFonts w:hint="eastAsia" w:ascii="Times New Roman" w:hAnsi="Times New Roman" w:eastAsia="黑体" w:cs="黑体"/>
          <w:b/>
          <w:bCs/>
          <w:sz w:val="36"/>
          <w:szCs w:val="36"/>
        </w:rPr>
        <w:t>技术要求</w:t>
      </w:r>
      <w:r>
        <w:rPr>
          <w:rFonts w:ascii="Times New Roman" w:hAnsi="Times New Roman" w:eastAsia="黑体" w:cs="黑体"/>
          <w:b/>
          <w:bCs/>
          <w:sz w:val="36"/>
          <w:szCs w:val="36"/>
        </w:rPr>
        <w:t>-技术参数部分</w:t>
      </w:r>
    </w:p>
    <w:p w14:paraId="45ED2EB7">
      <w:pPr>
        <w:pStyle w:val="8"/>
        <w:numPr>
          <w:ilvl w:val="0"/>
          <w:numId w:val="1"/>
        </w:numPr>
        <w:spacing w:line="360" w:lineRule="auto"/>
        <w:ind w:firstLineChars="0"/>
        <w:jc w:val="left"/>
        <w:rPr>
          <w:rFonts w:hint="eastAsia" w:ascii="仿宋" w:hAnsi="仿宋" w:eastAsia="仿宋"/>
          <w:sz w:val="24"/>
          <w:szCs w:val="24"/>
        </w:rPr>
      </w:pPr>
      <w:r>
        <w:rPr>
          <w:rFonts w:hint="eastAsia" w:ascii="Times New Roman" w:hAnsi="Times New Roman" w:eastAsia="黑体" w:cs="黑体"/>
          <w:sz w:val="24"/>
          <w:szCs w:val="24"/>
        </w:rPr>
        <w:t>采购需求符合的标准</w:t>
      </w:r>
    </w:p>
    <w:p w14:paraId="0BF404F2">
      <w:pPr>
        <w:pStyle w:val="8"/>
        <w:numPr>
          <w:numId w:val="0"/>
        </w:numPr>
        <w:spacing w:line="240" w:lineRule="auto"/>
        <w:ind w:firstLine="480" w:firstLineChars="20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本采购项目的技术要求直接引用现行有效的国家及行业标准，包括：GB/T 2985-2008《生物显微镜》、GB/T 29858-2013《显微镜 性能表示》、GB/T 42886-2023《显微镜 数字成像显示 显微镜提供给用户的成像性能信息》。系统应满足上述标准对生物显微镜（含倒置研究级显微镜）光学基本参数、性能标示方式与允差框架、数字成像链的成像性能信息披露要求的核验依据；其中显微镜光学性能（无限远校正光学系统、视场数、物镜/目镜标志与基本参数）以 GB/T 2985-2008 / GB/T 29858-2013的适用条款作为到货核验与验收的参照基准，制造商提供的成像性能信息以 GB/T 42886-2023规定的术语与信息框架进行核对。</w:t>
      </w:r>
    </w:p>
    <w:p w14:paraId="3D5A3A81">
      <w:pPr>
        <w:spacing w:line="240" w:lineRule="auto"/>
        <w:ind w:firstLine="480" w:firstLineChars="200"/>
        <w:jc w:val="left"/>
        <w:rPr>
          <w:rFonts w:hint="eastAsia" w:ascii="仿宋" w:hAnsi="仿宋" w:eastAsia="仿宋"/>
          <w:sz w:val="24"/>
          <w:szCs w:val="24"/>
        </w:rPr>
      </w:pPr>
      <w:r>
        <w:rPr>
          <w:rFonts w:hint="eastAsia" w:ascii="仿宋" w:hAnsi="仿宋" w:eastAsia="仿宋"/>
          <w:sz w:val="24"/>
          <w:szCs w:val="24"/>
        </w:rPr>
        <w:t>在保证充分竞争的前提下，鼓励供应商提供高于标准的技术指标，例如：更小的实际位移步进分辨率（标称＜</w:t>
      </w:r>
      <w:r>
        <w:rPr>
          <w:rFonts w:ascii="仿宋" w:hAnsi="仿宋" w:eastAsia="仿宋"/>
          <w:sz w:val="24"/>
          <w:szCs w:val="24"/>
        </w:rPr>
        <w:t>20 nm需提供可复核的标定说明或出厂校准溯源文件）、更高的电动 XY 载物台定位精度与最大移动速度、电动 Z 轴更细的最小步进及更优的长时间自动对焦漂移抑制能力、注射压力控制更高的分辨率与更好的压力—体积线性度（油压/气压系统关键参数应可提供与国家计量体系可追溯的校准依据）。</w:t>
      </w:r>
      <w:bookmarkStart w:id="0" w:name="_GoBack"/>
      <w:bookmarkEnd w:id="0"/>
      <w:r>
        <w:rPr>
          <w:rFonts w:ascii="仿宋" w:hAnsi="仿宋" w:eastAsia="仿宋"/>
          <w:sz w:val="24"/>
          <w:szCs w:val="24"/>
        </w:rPr>
        <w:t>系统设备本体应符合国家关于电气安全与市场准入的一般性法定要求（如适用）；如后续设备使用场景或管理属性变化导致需要按医疗器械/IVD等专门监</w:t>
      </w:r>
      <w:r>
        <w:rPr>
          <w:rFonts w:hint="eastAsia" w:ascii="仿宋" w:hAnsi="仿宋" w:eastAsia="仿宋"/>
          <w:sz w:val="24"/>
          <w:szCs w:val="24"/>
        </w:rPr>
        <w:t>管体系执行，则应满足届时适用的强制性准入与安全标准要求。所有标准均以现行有效版本为准。</w:t>
      </w:r>
    </w:p>
    <w:p w14:paraId="127C783C">
      <w:pPr>
        <w:spacing w:line="360" w:lineRule="auto"/>
        <w:ind w:firstLine="240" w:firstLineChars="100"/>
        <w:jc w:val="left"/>
        <w:rPr>
          <w:rFonts w:ascii="Times New Roman" w:hAnsi="Times New Roman" w:eastAsia="黑体" w:cs="黑体"/>
          <w:sz w:val="24"/>
          <w:szCs w:val="24"/>
        </w:rPr>
      </w:pPr>
      <w:r>
        <w:rPr>
          <w:rFonts w:hint="eastAsia" w:ascii="Times New Roman" w:hAnsi="Times New Roman" w:eastAsia="黑体" w:cs="黑体"/>
          <w:sz w:val="24"/>
          <w:szCs w:val="24"/>
        </w:rPr>
        <w:t>二、技术要求</w:t>
      </w:r>
    </w:p>
    <w:p w14:paraId="4C1D5BB4">
      <w:pPr>
        <w:rPr>
          <w:rFonts w:hint="eastAsia" w:ascii="仿宋" w:hAnsi="仿宋" w:eastAsia="仿宋"/>
          <w:sz w:val="24"/>
          <w:szCs w:val="24"/>
        </w:rPr>
      </w:pPr>
      <w:r>
        <w:rPr>
          <w:rFonts w:ascii="仿宋" w:hAnsi="仿宋" w:eastAsia="仿宋"/>
          <w:sz w:val="24"/>
          <w:szCs w:val="24"/>
        </w:rPr>
        <w:t>1.包1：</w:t>
      </w:r>
    </w:p>
    <w:p w14:paraId="1D53F44A">
      <w:pPr>
        <w:rPr>
          <w:rFonts w:hint="eastAsia" w:ascii="仿宋" w:hAnsi="仿宋" w:eastAsia="仿宋"/>
          <w:sz w:val="24"/>
          <w:szCs w:val="24"/>
        </w:rPr>
      </w:pPr>
      <w:r>
        <w:rPr>
          <w:rFonts w:ascii="仿宋" w:hAnsi="仿宋" w:eastAsia="仿宋"/>
          <w:sz w:val="24"/>
          <w:szCs w:val="24"/>
        </w:rPr>
        <w:t>1.1 采购标的1：高精密双臂机器人操作系统</w:t>
      </w:r>
    </w:p>
    <w:p w14:paraId="38CF83F0">
      <w:pPr>
        <w:rPr>
          <w:rFonts w:hint="eastAsia" w:ascii="仿宋" w:hAnsi="仿宋" w:eastAsia="仿宋"/>
          <w:sz w:val="24"/>
          <w:szCs w:val="24"/>
        </w:rPr>
      </w:pPr>
      <w:r>
        <w:rPr>
          <w:rFonts w:hint="eastAsia" w:ascii="仿宋" w:hAnsi="仿宋" w:eastAsia="仿宋"/>
          <w:sz w:val="24"/>
          <w:szCs w:val="24"/>
        </w:rPr>
        <w:t>主要技术性能指标和配置要求：</w:t>
      </w:r>
    </w:p>
    <w:p w14:paraId="5DC147A6">
      <w:pPr>
        <w:ind w:firstLine="480" w:firstLineChars="200"/>
        <w:rPr>
          <w:rFonts w:hint="eastAsia" w:ascii="仿宋" w:hAnsi="仿宋" w:eastAsia="仿宋"/>
          <w:sz w:val="24"/>
          <w:szCs w:val="24"/>
        </w:rPr>
      </w:pPr>
      <w:r>
        <w:rPr>
          <w:rFonts w:hint="eastAsia" w:ascii="仿宋" w:hAnsi="仿宋" w:eastAsia="仿宋"/>
          <w:sz w:val="24"/>
          <w:szCs w:val="24"/>
        </w:rPr>
        <w:t>本系统为高精密双臂机器人操作系统，集高质量成像、精密操控及压力控制等功能于一体，主要用于微操作、微注射、微电极操控等高精度实验场景，具备高稳定性、高重复性及良好的扩展能力，可满足前沿科学研究的高端应用需求。此外，系统配置控制平台，可对机械臂、显微镜进行集中管理，实现多设备协同工作与同步控制，从而有效降低人为操作误差，确保实验数据的高可靠性与可追溯性。</w:t>
      </w:r>
    </w:p>
    <w:p w14:paraId="3871D92B">
      <w:pPr>
        <w:widowControl w:val="0"/>
        <w:spacing w:line="360" w:lineRule="auto"/>
        <w:ind w:firstLine="240" w:firstLineChars="100"/>
        <w:jc w:val="left"/>
        <w:rPr>
          <w:rFonts w:hint="eastAsia" w:ascii="Times New Roman" w:hAnsi="Times New Roman" w:eastAsia="黑体" w:cs="黑体"/>
          <w:kern w:val="2"/>
          <w:sz w:val="24"/>
          <w:szCs w:val="24"/>
          <w:lang w:val="en-US" w:eastAsia="zh-CN" w:bidi="ar-SA"/>
        </w:rPr>
      </w:pPr>
      <w:r>
        <w:rPr>
          <w:rFonts w:hint="eastAsia" w:ascii="Times New Roman" w:hAnsi="Times New Roman" w:eastAsia="黑体" w:cs="黑体"/>
          <w:kern w:val="2"/>
          <w:sz w:val="24"/>
          <w:szCs w:val="24"/>
          <w:lang w:val="en-US" w:eastAsia="zh-CN" w:bidi="ar-SA"/>
        </w:rPr>
        <w:t>1.1 机械臂</w:t>
      </w:r>
    </w:p>
    <w:p w14:paraId="4000A045">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1）人性化设计表面标有刻度，方便安装；</w:t>
      </w:r>
    </w:p>
    <w:p w14:paraId="4384541A">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2）轻松地从 0°到 90°调整各种微操作针与电极的角度；</w:t>
      </w:r>
    </w:p>
    <w:p w14:paraId="1B9CAD59">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3）灵活的旋转接头，方便进行各种微操作针与电极、操作样品的切换；</w:t>
      </w:r>
    </w:p>
    <w:p w14:paraId="230E7425">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4）可以单手进行各种微操作针与电极的固定；</w:t>
      </w:r>
    </w:p>
    <w:p w14:paraId="7BA4595B">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5）最大移动距离≥20 mm；</w:t>
      </w:r>
    </w:p>
    <w:p w14:paraId="37FDCCCD">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6）重量≤2.15kg，尺寸≤129*51*36 mm;</w:t>
      </w:r>
    </w:p>
    <w:p w14:paraId="0101E7CF">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7）步进距离＜20 nm;</w:t>
      </w:r>
    </w:p>
    <w:p w14:paraId="61906BEA">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8）速度范围为0-10000 μm/s;</w:t>
      </w:r>
    </w:p>
    <w:p w14:paraId="2C470CB7">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9）角度调整为-45°至+90°；</w:t>
      </w:r>
    </w:p>
    <w:p w14:paraId="199C0FA2">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10）换微针时需向前旋转，换样品时需向后旋转。</w:t>
      </w:r>
    </w:p>
    <w:p w14:paraId="0357CCFE">
      <w:pPr>
        <w:widowControl w:val="0"/>
        <w:spacing w:line="360" w:lineRule="auto"/>
        <w:ind w:firstLine="240" w:firstLineChars="100"/>
        <w:jc w:val="left"/>
        <w:rPr>
          <w:rFonts w:hint="eastAsia" w:ascii="Times New Roman" w:hAnsi="Times New Roman" w:eastAsia="黑体" w:cs="黑体"/>
          <w:kern w:val="2"/>
          <w:sz w:val="24"/>
          <w:szCs w:val="24"/>
          <w:lang w:val="en-US" w:eastAsia="zh-CN" w:bidi="ar-SA"/>
        </w:rPr>
      </w:pPr>
      <w:r>
        <w:rPr>
          <w:rFonts w:hint="eastAsia" w:ascii="Times New Roman" w:hAnsi="Times New Roman" w:eastAsia="黑体" w:cs="黑体"/>
          <w:kern w:val="2"/>
          <w:sz w:val="24"/>
          <w:szCs w:val="24"/>
          <w:lang w:val="en-US" w:eastAsia="zh-CN" w:bidi="ar-SA"/>
        </w:rPr>
        <w:t>1.2 控制器</w:t>
      </w:r>
    </w:p>
    <w:p w14:paraId="13444D66">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1）通过操作杆进行连续移动控制或单轴运动，三轴锁定；</w:t>
      </w:r>
    </w:p>
    <w:p w14:paraId="5F2BED12">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2）通过设定 Z-Limit 进行注射平面控制，防止毛细管针折断；</w:t>
      </w:r>
    </w:p>
    <w:p w14:paraId="4701982C">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3）使用自动归位功能，可以进行毛细管针与样品的简单快速切</w:t>
      </w:r>
    </w:p>
    <w:p w14:paraId="0BABF69E">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换；</w:t>
      </w:r>
    </w:p>
    <w:p w14:paraId="72DF8532">
      <w:pPr>
        <w:widowControl w:val="0"/>
        <w:numPr>
          <w:ilvl w:val="0"/>
          <w:numId w:val="2"/>
        </w:numPr>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优化使用界面，满足不同的应用需求；</w:t>
      </w:r>
    </w:p>
    <w:p w14:paraId="4B664522">
      <w:pPr>
        <w:widowControl w:val="0"/>
        <w:numPr>
          <w:ilvl w:val="0"/>
          <w:numId w:val="2"/>
        </w:numPr>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控制方法：双速操作杆，控制 XYZ 三维运动；</w:t>
      </w:r>
    </w:p>
    <w:p w14:paraId="7F397A00">
      <w:pPr>
        <w:widowControl w:val="0"/>
        <w:numPr>
          <w:ilvl w:val="0"/>
          <w:numId w:val="2"/>
        </w:numPr>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外接设备：通过 SubD9 公口连接;</w:t>
      </w:r>
    </w:p>
    <w:p w14:paraId="47B1A68B">
      <w:pPr>
        <w:widowControl w:val="0"/>
        <w:numPr>
          <w:ilvl w:val="0"/>
          <w:numId w:val="2"/>
        </w:numPr>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操作精度：粗调/精调/极精细；</w:t>
      </w:r>
    </w:p>
    <w:p w14:paraId="1698B415">
      <w:pPr>
        <w:widowControl w:val="0"/>
        <w:numPr>
          <w:ilvl w:val="0"/>
          <w:numId w:val="2"/>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速度控制：连续运动；</w:t>
      </w:r>
    </w:p>
    <w:p w14:paraId="25D8916D">
      <w:pPr>
        <w:widowControl w:val="0"/>
        <w:numPr>
          <w:ilvl w:val="0"/>
          <w:numId w:val="2"/>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重量≤1.8kg，尺寸≤205*288*152 mm；</w:t>
      </w:r>
    </w:p>
    <w:p w14:paraId="14FD3826">
      <w:pPr>
        <w:widowControl w:val="0"/>
        <w:numPr>
          <w:ilvl w:val="0"/>
          <w:numId w:val="2"/>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独特的双速操作杆，控制精确、反应灵敏，可以定位，并且可以自由选用连续运动和分步运动两种不同的速度调控模式。</w:t>
      </w:r>
    </w:p>
    <w:p w14:paraId="13014AD0">
      <w:pPr>
        <w:widowControl w:val="0"/>
        <w:spacing w:line="360" w:lineRule="auto"/>
        <w:ind w:firstLine="240" w:firstLineChars="100"/>
        <w:jc w:val="left"/>
        <w:rPr>
          <w:rFonts w:hint="eastAsia" w:ascii="Times New Roman" w:hAnsi="Times New Roman" w:eastAsia="黑体" w:cs="黑体"/>
          <w:kern w:val="2"/>
          <w:sz w:val="24"/>
          <w:szCs w:val="24"/>
          <w:lang w:val="en-US" w:eastAsia="zh-CN" w:bidi="ar-SA"/>
        </w:rPr>
      </w:pPr>
      <w:r>
        <w:rPr>
          <w:rFonts w:hint="eastAsia" w:ascii="Times New Roman" w:hAnsi="Times New Roman" w:eastAsia="黑体" w:cs="黑体"/>
          <w:kern w:val="2"/>
          <w:sz w:val="24"/>
          <w:szCs w:val="24"/>
          <w:lang w:val="en-US" w:eastAsia="zh-CN" w:bidi="ar-SA"/>
        </w:rPr>
        <w:t>1.3 负压泵</w:t>
      </w:r>
    </w:p>
    <w:p w14:paraId="41EC3E5F">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1）适用于压力控制、微注射和液体分装等，操作时舒适、精确性高且可靠性强，可以满足极严格的微操作要求。</w:t>
      </w:r>
    </w:p>
    <w:p w14:paraId="41B5920C">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2）压力的产生：活塞/气缸系统，油填充；</w:t>
      </w:r>
    </w:p>
    <w:p w14:paraId="4C181290">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3）每圈体积变化：9.6 µL（活塞）/88 µL（气缸）；</w:t>
      </w:r>
    </w:p>
    <w:p w14:paraId="42691E90">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4）最大填充体积：960 µL（活塞）/2640 µL（气缸）；</w:t>
      </w:r>
    </w:p>
    <w:p w14:paraId="23B69DAF">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5）最小吸取体积：20 nL（活塞）/200nL（气缸）；</w:t>
      </w:r>
    </w:p>
    <w:p w14:paraId="245518C3">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6）最大压力：20000 hPa（活塞）/2900 hPa（气缸）；</w:t>
      </w:r>
    </w:p>
    <w:p w14:paraId="130885A1">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7）压力管：聚乙烯，1 m长，1 mm内径；可以延长到2 m。</w:t>
      </w:r>
    </w:p>
    <w:p w14:paraId="0BEC5383">
      <w:pPr>
        <w:widowControl w:val="0"/>
        <w:spacing w:line="360" w:lineRule="auto"/>
        <w:ind w:firstLine="240" w:firstLineChars="100"/>
        <w:jc w:val="left"/>
        <w:rPr>
          <w:rFonts w:hint="eastAsia" w:ascii="Times New Roman" w:hAnsi="Times New Roman" w:eastAsia="黑体" w:cs="黑体"/>
          <w:kern w:val="2"/>
          <w:sz w:val="24"/>
          <w:szCs w:val="24"/>
          <w:lang w:val="en-US" w:eastAsia="zh-CN" w:bidi="ar-SA"/>
        </w:rPr>
      </w:pPr>
      <w:r>
        <w:rPr>
          <w:rFonts w:hint="eastAsia" w:ascii="Times New Roman" w:hAnsi="Times New Roman" w:eastAsia="黑体" w:cs="黑体"/>
          <w:kern w:val="2"/>
          <w:sz w:val="24"/>
          <w:szCs w:val="24"/>
          <w:lang w:val="en-US" w:eastAsia="zh-CN" w:bidi="ar-SA"/>
        </w:rPr>
        <w:t>1.4 显微镜</w:t>
      </w:r>
    </w:p>
    <w:p w14:paraId="64CA72BD">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1）光学系统：采用无限远校正光学系统，视场数≥22 mm，支持明场、相差、荧光、DIC等多种观察方式：</w:t>
      </w:r>
    </w:p>
    <w:p w14:paraId="27956B82">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2）电动Z轴调焦：行程≥10 mm，最小步进≤0.01 µm，且配备自动对焦系统，可长时间稳定成像；</w:t>
      </w:r>
    </w:p>
    <w:p w14:paraId="5B0F2B34">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3）物镜转换器：电动物镜转盘≥6孔，可配明场专用配件及物镜，包括4X/10X/20X /40X物镜；</w:t>
      </w:r>
    </w:p>
    <w:p w14:paraId="77939265">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4）电动XY载物台：X轴≥±57 mm，Y轴≥±36.5 mm，且最大移动速度≥25 mm/s；</w:t>
      </w:r>
    </w:p>
    <w:p w14:paraId="20EEA086">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 照明系统：支持透射光与荧光照明，透射光聚光镜行程≥66 mm，支持多滤光片位切换；</w:t>
      </w:r>
    </w:p>
    <w:p w14:paraId="3CCA2CD0">
      <w:pPr>
        <w:widowControl w:val="0"/>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6）控制系统：支持电脑控制（USB/LAN接口），支持操纵杆控制及平板远程控制，支持自动化扫描与成像；</w:t>
      </w:r>
    </w:p>
    <w:p w14:paraId="249581DB">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7）环境条件：工作温度为0-40℃，湿度≤60% RH；</w:t>
      </w:r>
    </w:p>
    <w:p w14:paraId="44D5C2C5">
      <w:pPr>
        <w:widowControl w:val="0"/>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8）显微镜主体：倒置式研究级显微镜结构。</w:t>
      </w:r>
    </w:p>
    <w:p w14:paraId="5D2E472E">
      <w:pPr>
        <w:widowControl w:val="0"/>
        <w:numPr>
          <w:ilvl w:val="0"/>
          <w:numId w:val="3"/>
        </w:numPr>
        <w:ind w:leftChars="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软件要求：</w:t>
      </w:r>
    </w:p>
    <w:p w14:paraId="12F2D780">
      <w:pPr>
        <w:widowControl w:val="0"/>
        <w:numPr>
          <w:ilvl w:val="0"/>
          <w:numId w:val="3"/>
        </w:numPr>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软件应具备统一控制界面，可实现对机械臂、显微镜、电动XY载物台及负压泵的集中控制；</w:t>
      </w:r>
    </w:p>
    <w:p w14:paraId="28CFD6AB">
      <w:pPr>
        <w:widowControl w:val="0"/>
        <w:numPr>
          <w:ilvl w:val="0"/>
          <w:numId w:val="4"/>
        </w:numPr>
        <w:ind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具备图形化操作界面，操作直观、易用；</w:t>
      </w:r>
    </w:p>
    <w:p w14:paraId="18C8DD28">
      <w:pPr>
        <w:widowControl w:val="0"/>
        <w:numPr>
          <w:ilvl w:val="0"/>
          <w:numId w:val="4"/>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支持多设备同步控制及状态实时显示；</w:t>
      </w:r>
    </w:p>
    <w:p w14:paraId="7326CB7F">
      <w:pPr>
        <w:widowControl w:val="0"/>
        <w:numPr>
          <w:ilvl w:val="0"/>
          <w:numId w:val="4"/>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支持机械臂、XY载物台精密控制及参数设置；</w:t>
      </w:r>
    </w:p>
    <w:p w14:paraId="06B34421">
      <w:pPr>
        <w:widowControl w:val="0"/>
        <w:numPr>
          <w:ilvl w:val="0"/>
          <w:numId w:val="4"/>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支持Z轴自动对焦功能调用与参数设置；</w:t>
      </w:r>
    </w:p>
    <w:p w14:paraId="3A300EE0">
      <w:pPr>
        <w:widowControl w:val="0"/>
        <w:numPr>
          <w:ilvl w:val="0"/>
          <w:numId w:val="4"/>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支持注射过程参数设置（时间、压力等）；</w:t>
      </w:r>
    </w:p>
    <w:p w14:paraId="08D5DA83">
      <w:pPr>
        <w:widowControl w:val="0"/>
        <w:numPr>
          <w:ilvl w:val="0"/>
          <w:numId w:val="4"/>
        </w:numPr>
        <w:ind w:left="0" w:leftChars="0" w:firstLine="480" w:firstLineChars="200"/>
        <w:jc w:val="both"/>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支持实验参数保存与调用、图像数据存储及导出。</w:t>
      </w:r>
    </w:p>
    <w:p w14:paraId="692864BE">
      <w:pPr>
        <w:ind w:left="210" w:leftChars="100"/>
        <w:rPr>
          <w:rFonts w:hint="eastAsia" w:ascii="仿宋" w:hAnsi="仿宋" w:eastAsia="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769CC9"/>
    <w:multiLevelType w:val="singleLevel"/>
    <w:tmpl w:val="A4769CC9"/>
    <w:lvl w:ilvl="0" w:tentative="0">
      <w:start w:val="1"/>
      <w:numFmt w:val="decimal"/>
      <w:suff w:val="nothing"/>
      <w:lvlText w:val="%1）"/>
      <w:lvlJc w:val="left"/>
    </w:lvl>
  </w:abstractNum>
  <w:abstractNum w:abstractNumId="1">
    <w:nsid w:val="DA94E73E"/>
    <w:multiLevelType w:val="multilevel"/>
    <w:tmpl w:val="DA94E73E"/>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3D379159"/>
    <w:multiLevelType w:val="singleLevel"/>
    <w:tmpl w:val="3D379159"/>
    <w:lvl w:ilvl="0" w:tentative="0">
      <w:start w:val="4"/>
      <w:numFmt w:val="decimal"/>
      <w:suff w:val="nothing"/>
      <w:lvlText w:val="%1）"/>
      <w:lvlJc w:val="left"/>
    </w:lvl>
  </w:abstractNum>
  <w:abstractNum w:abstractNumId="3">
    <w:nsid w:val="541A4282"/>
    <w:multiLevelType w:val="multilevel"/>
    <w:tmpl w:val="541A4282"/>
    <w:lvl w:ilvl="0" w:tentative="0">
      <w:start w:val="1"/>
      <w:numFmt w:val="japaneseCounting"/>
      <w:lvlText w:val="%1、"/>
      <w:lvlJc w:val="left"/>
      <w:pPr>
        <w:ind w:left="720" w:hanging="48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88E"/>
    <w:rsid w:val="00056336"/>
    <w:rsid w:val="000F433E"/>
    <w:rsid w:val="001615E8"/>
    <w:rsid w:val="001A65DA"/>
    <w:rsid w:val="002270EC"/>
    <w:rsid w:val="00240D61"/>
    <w:rsid w:val="00261E13"/>
    <w:rsid w:val="00293806"/>
    <w:rsid w:val="003004B7"/>
    <w:rsid w:val="00316AAD"/>
    <w:rsid w:val="00320357"/>
    <w:rsid w:val="00321CD1"/>
    <w:rsid w:val="004858D2"/>
    <w:rsid w:val="0049544A"/>
    <w:rsid w:val="005133F1"/>
    <w:rsid w:val="005229D3"/>
    <w:rsid w:val="00590B06"/>
    <w:rsid w:val="005C639D"/>
    <w:rsid w:val="0062472B"/>
    <w:rsid w:val="00646BA6"/>
    <w:rsid w:val="006643EA"/>
    <w:rsid w:val="006F236F"/>
    <w:rsid w:val="00732F4C"/>
    <w:rsid w:val="007455FC"/>
    <w:rsid w:val="007773F9"/>
    <w:rsid w:val="007C5077"/>
    <w:rsid w:val="007D4926"/>
    <w:rsid w:val="0080404D"/>
    <w:rsid w:val="008111D8"/>
    <w:rsid w:val="00864BED"/>
    <w:rsid w:val="008924ED"/>
    <w:rsid w:val="008A3114"/>
    <w:rsid w:val="00917D55"/>
    <w:rsid w:val="00957D07"/>
    <w:rsid w:val="00A43096"/>
    <w:rsid w:val="00A503F0"/>
    <w:rsid w:val="00B104F3"/>
    <w:rsid w:val="00BD2D84"/>
    <w:rsid w:val="00C57E26"/>
    <w:rsid w:val="00CB088E"/>
    <w:rsid w:val="00CF54AC"/>
    <w:rsid w:val="00D060A6"/>
    <w:rsid w:val="00D24643"/>
    <w:rsid w:val="00D30029"/>
    <w:rsid w:val="00D833DA"/>
    <w:rsid w:val="00D94361"/>
    <w:rsid w:val="00DC486D"/>
    <w:rsid w:val="00E164CB"/>
    <w:rsid w:val="00E279D8"/>
    <w:rsid w:val="00E93B08"/>
    <w:rsid w:val="00EB7FFD"/>
    <w:rsid w:val="00F10061"/>
    <w:rsid w:val="00F21E45"/>
    <w:rsid w:val="00F61494"/>
    <w:rsid w:val="00F7767C"/>
    <w:rsid w:val="00FF684B"/>
    <w:rsid w:val="148B7538"/>
    <w:rsid w:val="2AB7470B"/>
    <w:rsid w:val="416C763E"/>
    <w:rsid w:val="4BD652A4"/>
    <w:rsid w:val="61446C03"/>
    <w:rsid w:val="6D5E2473"/>
    <w:rsid w:val="73107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paragraph" w:styleId="8">
    <w:name w:val="List Paragraph"/>
    <w:basedOn w:val="1"/>
    <w:qFormat/>
    <w:uiPriority w:val="34"/>
    <w:pPr>
      <w:ind w:firstLine="420" w:firstLineChars="200"/>
    </w:pPr>
  </w:style>
  <w:style w:type="paragraph" w:customStyle="1" w:styleId="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1922</Words>
  <Characters>2178</Characters>
  <Lines>54</Lines>
  <Paragraphs>62</Paragraphs>
  <TotalTime>2</TotalTime>
  <ScaleCrop>false</ScaleCrop>
  <LinksUpToDate>false</LinksUpToDate>
  <CharactersWithSpaces>2310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2026-06-08T09:29:00Z</dcterms:created>
  <dc:creator>Miko Tian</dc:creator>
  <cp:lastModifiedBy>DJ</cp:lastModifiedBy>
  <dcterms:modified xsi:type="dcterms:W3CDTF">2026-06-18T10:22:24Z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eyJoZGlkIjoiM2IwZDFmOTIwZjlmYWZkOTZhNDFkNWUxZjY3ZGYwNDYiLCJ1c2VySWQiOiIxNTkwNzQzMDEzIn0=</vt:lpwstr>
  </property>
  <property fmtid="{D5CDD505-2E9C-101B-9397-08002B2CF9AE}" pid="3" name="KSOProductBuildVer">
    <vt:lpwstr>2052-12.1.0.26895</vt:lpwstr>
  </property>
  <property fmtid="{D5CDD505-2E9C-101B-9397-08002B2CF9AE}" pid="4" name="ICV">
    <vt:lpwstr>EC7D5CD9A8D545689E57285D6B50A276_13</vt:lpwstr>
  </property>
</Properties>
</file>