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B37523">
      <w:pPr>
        <w:pStyle w:val="30"/>
        <w:numPr>
          <w:ilvl w:val="0"/>
          <w:numId w:val="0"/>
        </w:numPr>
        <w:shd w:val="clear"/>
        <w:autoSpaceDN w:val="0"/>
        <w:snapToGrid w:val="0"/>
        <w:spacing w:after="0" w:line="400" w:lineRule="exact"/>
        <w:ind w:leftChars="0"/>
        <w:contextualSpacing w:val="0"/>
        <w:rPr>
          <w:rFonts w:hint="eastAsia" w:eastAsiaTheme="minorEastAsia"/>
          <w:color w:val="auto"/>
          <w:highlight w:val="none"/>
          <w:lang w:eastAsia="zh-CN"/>
        </w:rPr>
      </w:pPr>
      <w:r>
        <w:rPr>
          <w:rFonts w:hint="eastAsia"/>
          <w:b/>
          <w:bCs/>
          <w:color w:val="auto"/>
          <w:highlight w:val="none"/>
        </w:rPr>
        <w:t>新型多通道低频超声脑刺激激励阵列</w:t>
      </w:r>
      <w:r>
        <w:rPr>
          <w:rFonts w:hint="eastAsia"/>
          <w:b/>
          <w:bCs/>
          <w:color w:val="auto"/>
          <w:highlight w:val="none"/>
          <w:lang w:eastAsia="zh-CN"/>
        </w:rPr>
        <w:t>：</w:t>
      </w:r>
    </w:p>
    <w:p w14:paraId="59353669">
      <w:pPr>
        <w:pStyle w:val="30"/>
        <w:numPr>
          <w:ilvl w:val="0"/>
          <w:numId w:val="1"/>
        </w:numPr>
        <w:ind w:left="0" w:firstLine="0"/>
        <w:rPr>
          <w:rFonts w:hint="eastAsia" w:ascii="宋体" w:hAnsi="宋体"/>
        </w:rPr>
      </w:pPr>
      <w:r>
        <w:rPr>
          <w:rFonts w:hint="eastAsia" w:ascii="宋体" w:hAnsi="宋体"/>
        </w:rPr>
        <w:t>超声激励功率源并行通道数：≥512;</w:t>
      </w:r>
    </w:p>
    <w:p w14:paraId="7871D8EE">
      <w:pPr>
        <w:pStyle w:val="30"/>
        <w:numPr>
          <w:ilvl w:val="0"/>
          <w:numId w:val="1"/>
        </w:numPr>
        <w:ind w:left="0" w:firstLine="0"/>
        <w:rPr>
          <w:rFonts w:hint="eastAsia" w:ascii="宋体" w:hAnsi="宋体"/>
        </w:rPr>
      </w:pPr>
      <w:r>
        <w:rPr>
          <w:rFonts w:hint="eastAsia" w:ascii="宋体" w:hAnsi="宋体"/>
        </w:rPr>
        <w:t>超声激励功率源单通道功率：≥10W;</w:t>
      </w:r>
    </w:p>
    <w:p w14:paraId="50D31389">
      <w:pPr>
        <w:pStyle w:val="30"/>
        <w:numPr>
          <w:ilvl w:val="0"/>
          <w:numId w:val="1"/>
        </w:numPr>
        <w:ind w:left="0" w:firstLine="0"/>
        <w:rPr>
          <w:rFonts w:hint="eastAsia" w:ascii="宋体" w:hAnsi="宋体"/>
        </w:rPr>
      </w:pPr>
      <w:r>
        <w:rPr>
          <w:rFonts w:hint="eastAsia" w:ascii="宋体" w:hAnsi="宋体"/>
        </w:rPr>
        <w:t>超声激励功率源全通道总输出功率：≥2500W;</w:t>
      </w:r>
    </w:p>
    <w:p w14:paraId="72923227">
      <w:pPr>
        <w:pStyle w:val="30"/>
        <w:numPr>
          <w:ilvl w:val="0"/>
          <w:numId w:val="1"/>
        </w:numPr>
        <w:ind w:left="0" w:firstLine="0"/>
        <w:rPr>
          <w:rFonts w:hint="eastAsia" w:ascii="宋体" w:hAnsi="宋体"/>
        </w:rPr>
      </w:pPr>
      <w:r>
        <w:rPr>
          <w:rFonts w:hint="eastAsia" w:ascii="宋体" w:hAnsi="宋体"/>
        </w:rPr>
        <w:t>超声激励功率源单通道输出功率调节步长：≤0.1W;</w:t>
      </w:r>
    </w:p>
    <w:p w14:paraId="0B275DE0">
      <w:pPr>
        <w:pStyle w:val="30"/>
        <w:numPr>
          <w:ilvl w:val="0"/>
          <w:numId w:val="1"/>
        </w:numPr>
        <w:ind w:left="0" w:firstLine="0"/>
        <w:rPr>
          <w:rFonts w:hint="eastAsia" w:ascii="宋体" w:hAnsi="宋体"/>
        </w:rPr>
      </w:pPr>
      <w:r>
        <w:rPr>
          <w:rFonts w:hint="eastAsia" w:ascii="宋体" w:hAnsi="宋体"/>
        </w:rPr>
        <w:t>超声激励功率源单通道输出功率限幅精度：≤0.5W;</w:t>
      </w:r>
    </w:p>
    <w:p w14:paraId="7A102842">
      <w:pPr>
        <w:pStyle w:val="30"/>
        <w:numPr>
          <w:ilvl w:val="0"/>
          <w:numId w:val="1"/>
        </w:numPr>
        <w:ind w:left="0" w:firstLine="0"/>
        <w:rPr>
          <w:rFonts w:hint="eastAsia" w:ascii="宋体" w:hAnsi="宋体"/>
        </w:rPr>
      </w:pPr>
      <w:r>
        <w:rPr>
          <w:rFonts w:hint="eastAsia" w:ascii="宋体" w:hAnsi="宋体"/>
        </w:rPr>
        <w:t>超声激励功率源输出带宽：下限值≤100kHz,上限值≥1.2MHz;</w:t>
      </w:r>
    </w:p>
    <w:p w14:paraId="3699EE1E">
      <w:pPr>
        <w:pStyle w:val="30"/>
        <w:numPr>
          <w:ilvl w:val="0"/>
          <w:numId w:val="1"/>
        </w:numPr>
        <w:ind w:left="0" w:firstLine="0"/>
        <w:rPr>
          <w:rFonts w:hint="eastAsia" w:ascii="宋体" w:hAnsi="宋体"/>
        </w:rPr>
      </w:pPr>
      <w:r>
        <w:rPr>
          <w:rFonts w:hint="eastAsia" w:ascii="宋体" w:hAnsi="宋体"/>
        </w:rPr>
        <w:t>超声激励功率源相位调节时间分辨率：≤10ns；</w:t>
      </w:r>
    </w:p>
    <w:p w14:paraId="25463EA5">
      <w:pPr>
        <w:pStyle w:val="30"/>
        <w:numPr>
          <w:ilvl w:val="0"/>
          <w:numId w:val="1"/>
        </w:numPr>
        <w:ind w:left="0" w:firstLine="0"/>
        <w:rPr>
          <w:rFonts w:hint="eastAsia" w:ascii="宋体" w:hAnsi="宋体"/>
        </w:rPr>
      </w:pPr>
      <w:r>
        <w:rPr>
          <w:rFonts w:hint="eastAsia" w:ascii="宋体" w:hAnsi="宋体"/>
        </w:rPr>
        <w:t>超声激励功率源中心频率处的总谐波失真：≤0.5%；</w:t>
      </w:r>
    </w:p>
    <w:p w14:paraId="66824E24">
      <w:pPr>
        <w:pStyle w:val="30"/>
        <w:numPr>
          <w:ilvl w:val="0"/>
          <w:numId w:val="1"/>
        </w:numPr>
        <w:ind w:left="0" w:firstLine="0"/>
        <w:rPr>
          <w:rFonts w:hint="eastAsia" w:ascii="宋体" w:hAnsi="宋体"/>
        </w:rPr>
      </w:pPr>
      <w:r>
        <w:rPr>
          <w:rFonts w:hint="eastAsia" w:ascii="宋体" w:hAnsi="宋体"/>
        </w:rPr>
        <w:t>超声激励功率源主时钟相位抖动：≤100ps</w:t>
      </w:r>
    </w:p>
    <w:p w14:paraId="5403D7F5">
      <w:pPr>
        <w:pStyle w:val="30"/>
        <w:numPr>
          <w:ilvl w:val="0"/>
          <w:numId w:val="1"/>
        </w:numPr>
        <w:ind w:left="0" w:firstLine="0"/>
        <w:rPr>
          <w:rFonts w:hint="eastAsia" w:ascii="宋体" w:hAnsi="宋体"/>
        </w:rPr>
      </w:pPr>
      <w:r>
        <w:rPr>
          <w:rFonts w:hint="eastAsia" w:ascii="宋体" w:hAnsi="宋体"/>
        </w:rPr>
        <w:t>脉冲宽度调制输出模式下的调制周期：下限值≤200μs，上限值≥100ms；</w:t>
      </w:r>
    </w:p>
    <w:p w14:paraId="095C4CF9">
      <w:pPr>
        <w:pStyle w:val="30"/>
        <w:numPr>
          <w:ilvl w:val="0"/>
          <w:numId w:val="1"/>
        </w:numPr>
        <w:ind w:left="0" w:firstLine="0"/>
        <w:rPr>
          <w:rFonts w:hint="eastAsia" w:ascii="宋体" w:hAnsi="宋体"/>
        </w:rPr>
      </w:pPr>
      <w:r>
        <w:rPr>
          <w:rFonts w:hint="eastAsia" w:ascii="宋体" w:hAnsi="宋体"/>
        </w:rPr>
        <w:t>脉冲宽度调制输出模式下的调制范围：满足0～100%全域可调；</w:t>
      </w:r>
    </w:p>
    <w:p w14:paraId="2A556179">
      <w:pPr>
        <w:pStyle w:val="30"/>
        <w:numPr>
          <w:ilvl w:val="0"/>
          <w:numId w:val="1"/>
        </w:numPr>
        <w:ind w:left="0" w:firstLine="0"/>
        <w:rPr>
          <w:rFonts w:hint="eastAsia" w:ascii="宋体" w:hAnsi="宋体"/>
        </w:rPr>
      </w:pPr>
      <w:r>
        <w:rPr>
          <w:rFonts w:hint="eastAsia" w:ascii="宋体" w:hAnsi="宋体"/>
        </w:rPr>
        <w:t>脉冲宽度调制输出模式下的调制步长：≤2%；</w:t>
      </w:r>
    </w:p>
    <w:p w14:paraId="10BF4A0E">
      <w:pPr>
        <w:pStyle w:val="30"/>
        <w:numPr>
          <w:ilvl w:val="0"/>
          <w:numId w:val="1"/>
        </w:numPr>
        <w:ind w:left="0" w:firstLine="0"/>
        <w:rPr>
          <w:rFonts w:hint="eastAsia" w:ascii="宋体" w:hAnsi="宋体"/>
        </w:rPr>
      </w:pPr>
      <w:r>
        <w:rPr>
          <w:rFonts w:hint="eastAsia" w:ascii="宋体" w:hAnsi="宋体"/>
        </w:rPr>
        <w:t>满功率输出下的连续工作时间：≥30min；</w:t>
      </w:r>
    </w:p>
    <w:p w14:paraId="21C63F67">
      <w:pPr>
        <w:pStyle w:val="30"/>
        <w:numPr>
          <w:ilvl w:val="0"/>
          <w:numId w:val="1"/>
        </w:numPr>
        <w:ind w:left="0" w:firstLine="0"/>
        <w:rPr>
          <w:rFonts w:hint="eastAsia" w:ascii="宋体" w:hAnsi="宋体"/>
        </w:rPr>
      </w:pPr>
      <w:r>
        <w:rPr>
          <w:rFonts w:hint="eastAsia" w:ascii="宋体" w:hAnsi="宋体"/>
        </w:rPr>
        <w:t>输出门限计时步长：≤1s；</w:t>
      </w:r>
    </w:p>
    <w:p w14:paraId="2DE1A742">
      <w:pPr>
        <w:pStyle w:val="30"/>
        <w:numPr>
          <w:ilvl w:val="0"/>
          <w:numId w:val="1"/>
        </w:numPr>
        <w:ind w:left="0" w:firstLine="0"/>
        <w:rPr>
          <w:rFonts w:hint="eastAsia" w:ascii="宋体" w:hAnsi="宋体"/>
        </w:rPr>
      </w:pPr>
      <w:r>
        <w:rPr>
          <w:rFonts w:hint="eastAsia" w:ascii="宋体" w:hAnsi="宋体"/>
        </w:rPr>
        <w:t>输出波形：至少包含正弦波和方波两种输出形式；</w:t>
      </w:r>
    </w:p>
    <w:p w14:paraId="14DC4585">
      <w:pPr>
        <w:pStyle w:val="30"/>
        <w:numPr>
          <w:ilvl w:val="0"/>
          <w:numId w:val="1"/>
        </w:numPr>
        <w:ind w:left="0" w:firstLine="0"/>
        <w:rPr>
          <w:rFonts w:hint="eastAsia" w:ascii="宋体" w:hAnsi="宋体"/>
        </w:rPr>
      </w:pPr>
      <w:r>
        <w:rPr>
          <w:rFonts w:hint="eastAsia" w:ascii="宋体" w:hAnsi="宋体"/>
        </w:rPr>
        <w:t>通道时延独立可调功能：全通道支持；</w:t>
      </w:r>
    </w:p>
    <w:p w14:paraId="3D9A031D">
      <w:pPr>
        <w:pStyle w:val="30"/>
        <w:numPr>
          <w:ilvl w:val="0"/>
          <w:numId w:val="1"/>
        </w:numPr>
        <w:ind w:left="0" w:firstLine="0"/>
        <w:rPr>
          <w:rFonts w:hint="eastAsia" w:ascii="宋体" w:hAnsi="宋体"/>
        </w:rPr>
      </w:pPr>
      <w:r>
        <w:rPr>
          <w:rFonts w:hint="eastAsia" w:ascii="宋体" w:hAnsi="宋体"/>
        </w:rPr>
        <w:t>系统配套人体实验探头中心频率：650kHz±100kHz；</w:t>
      </w:r>
    </w:p>
    <w:p w14:paraId="2921B2EE">
      <w:pPr>
        <w:pStyle w:val="30"/>
        <w:numPr>
          <w:ilvl w:val="0"/>
          <w:numId w:val="1"/>
        </w:numPr>
        <w:ind w:left="0" w:firstLine="0"/>
        <w:rPr>
          <w:rFonts w:hint="eastAsia" w:ascii="宋体" w:hAnsi="宋体"/>
        </w:rPr>
      </w:pPr>
      <w:r>
        <w:rPr>
          <w:rFonts w:hint="eastAsia" w:ascii="宋体" w:hAnsi="宋体"/>
        </w:rPr>
        <w:t>系统配套人体实验探头组织穿透深度：≥100mm；</w:t>
      </w:r>
    </w:p>
    <w:p w14:paraId="5AE49C87">
      <w:pPr>
        <w:pStyle w:val="30"/>
        <w:numPr>
          <w:ilvl w:val="0"/>
          <w:numId w:val="1"/>
        </w:numPr>
        <w:ind w:left="0" w:firstLine="0"/>
        <w:rPr>
          <w:rFonts w:hint="eastAsia" w:ascii="宋体" w:hAnsi="宋体"/>
        </w:rPr>
      </w:pPr>
      <w:r>
        <w:rPr>
          <w:rFonts w:hint="eastAsia" w:ascii="宋体" w:hAnsi="宋体"/>
        </w:rPr>
        <w:t>系统配套人体实验探头阵元数量：≥512；</w:t>
      </w:r>
    </w:p>
    <w:p w14:paraId="58B9EDD3">
      <w:pPr>
        <w:pStyle w:val="30"/>
        <w:numPr>
          <w:ilvl w:val="0"/>
          <w:numId w:val="1"/>
        </w:numPr>
        <w:ind w:left="0" w:firstLine="0"/>
        <w:rPr>
          <w:rFonts w:hint="eastAsia" w:ascii="宋体" w:hAnsi="宋体"/>
        </w:rPr>
      </w:pPr>
      <w:r>
        <w:rPr>
          <w:rFonts w:hint="eastAsia" w:ascii="宋体" w:hAnsi="宋体"/>
        </w:rPr>
        <w:t>系统配套动物实验探头中心频率：1MHz±100kHz；</w:t>
      </w:r>
    </w:p>
    <w:p w14:paraId="77A58EBF">
      <w:pPr>
        <w:pStyle w:val="30"/>
        <w:numPr>
          <w:ilvl w:val="0"/>
          <w:numId w:val="1"/>
        </w:numPr>
        <w:ind w:left="0" w:firstLine="0"/>
        <w:rPr>
          <w:rFonts w:hint="eastAsia" w:ascii="宋体" w:hAnsi="宋体"/>
        </w:rPr>
      </w:pPr>
      <w:r>
        <w:rPr>
          <w:rFonts w:hint="eastAsia" w:ascii="宋体" w:hAnsi="宋体"/>
        </w:rPr>
        <w:t>系统配套动物实验探头组织穿透深度：≥50mm；</w:t>
      </w:r>
    </w:p>
    <w:p w14:paraId="796C5444">
      <w:pPr>
        <w:pStyle w:val="30"/>
        <w:numPr>
          <w:ilvl w:val="0"/>
          <w:numId w:val="1"/>
        </w:numPr>
        <w:ind w:left="0" w:firstLine="0"/>
        <w:rPr>
          <w:rFonts w:hint="eastAsia" w:ascii="宋体" w:hAnsi="宋体"/>
        </w:rPr>
      </w:pPr>
      <w:r>
        <w:rPr>
          <w:rFonts w:hint="eastAsia" w:ascii="宋体" w:hAnsi="宋体"/>
        </w:rPr>
        <w:t>系统配套动物实验探头阵元数量：≥512；</w:t>
      </w:r>
    </w:p>
    <w:p w14:paraId="064FA79D">
      <w:pPr>
        <w:pStyle w:val="30"/>
        <w:numPr>
          <w:ilvl w:val="0"/>
          <w:numId w:val="1"/>
        </w:numPr>
        <w:autoSpaceDN/>
        <w:snapToGrid/>
        <w:ind w:left="0" w:firstLine="0"/>
        <w:contextualSpacing/>
        <w:rPr>
          <w:rFonts w:hint="eastAsia" w:ascii="宋体" w:hAnsi="宋体"/>
        </w:rPr>
      </w:pPr>
      <w:r>
        <w:rPr>
          <w:rFonts w:hint="eastAsia" w:ascii="宋体" w:hAnsi="宋体"/>
        </w:rPr>
        <w:t>任意通道电压-声压转换曲线预览精度：≤10%；</w:t>
      </w:r>
    </w:p>
    <w:p w14:paraId="6C2E0DDF">
      <w:pPr>
        <w:pStyle w:val="30"/>
        <w:numPr>
          <w:ilvl w:val="0"/>
          <w:numId w:val="1"/>
        </w:numPr>
        <w:autoSpaceDN/>
        <w:snapToGrid/>
        <w:ind w:left="0" w:firstLine="0"/>
        <w:contextualSpacing/>
        <w:rPr>
          <w:rFonts w:hint="eastAsia" w:ascii="宋体" w:hAnsi="宋体"/>
        </w:rPr>
      </w:pPr>
      <w:r>
        <w:rPr>
          <w:rFonts w:hint="eastAsia" w:ascii="宋体" w:hAnsi="宋体"/>
        </w:rPr>
        <w:t>搭配多模态实时成像系统实现焦斑分析和调控效果预估时的同步精度：≤500ns；</w:t>
      </w:r>
    </w:p>
    <w:p w14:paraId="2CDE2481">
      <w:pPr>
        <w:pStyle w:val="30"/>
        <w:numPr>
          <w:ilvl w:val="0"/>
          <w:numId w:val="1"/>
        </w:numPr>
        <w:autoSpaceDN/>
        <w:snapToGrid/>
        <w:ind w:left="0" w:firstLine="0"/>
        <w:contextualSpacing/>
        <w:rPr>
          <w:rFonts w:hint="eastAsia"/>
          <w:color w:val="auto"/>
          <w:highlight w:val="none"/>
        </w:rPr>
      </w:pPr>
      <w:r>
        <w:rPr>
          <w:rFonts w:hint="eastAsia" w:ascii="宋体" w:hAnsi="宋体"/>
        </w:rPr>
        <w:t>支持相控阵声场的动态可视化；</w:t>
      </w:r>
    </w:p>
    <w:p w14:paraId="0A4874EE">
      <w:pPr>
        <w:pStyle w:val="30"/>
        <w:numPr>
          <w:ilvl w:val="0"/>
          <w:numId w:val="1"/>
        </w:numPr>
        <w:autoSpaceDN/>
        <w:snapToGrid/>
        <w:ind w:left="0" w:firstLine="0"/>
        <w:contextualSpacing/>
        <w:rPr>
          <w:rFonts w:hint="eastAsia"/>
          <w:color w:val="auto"/>
          <w:highlight w:val="none"/>
        </w:rPr>
      </w:pPr>
      <w:bookmarkStart w:id="0" w:name="_GoBack"/>
      <w:bookmarkEnd w:id="0"/>
      <w:r>
        <w:rPr>
          <w:rFonts w:hint="eastAsia" w:ascii="宋体" w:hAnsi="宋体"/>
        </w:rPr>
        <w:t>支持时间反转法的相控阵声焦斑形状与位置校准。</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460068"/>
    <w:multiLevelType w:val="multilevel"/>
    <w:tmpl w:val="52460068"/>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3FF"/>
    <w:rsid w:val="0002373C"/>
    <w:rsid w:val="00086EE3"/>
    <w:rsid w:val="000C3296"/>
    <w:rsid w:val="00135CBD"/>
    <w:rsid w:val="003A5C8A"/>
    <w:rsid w:val="00480B2E"/>
    <w:rsid w:val="0050704F"/>
    <w:rsid w:val="00507D49"/>
    <w:rsid w:val="00670725"/>
    <w:rsid w:val="00714783"/>
    <w:rsid w:val="007474CE"/>
    <w:rsid w:val="007F4169"/>
    <w:rsid w:val="00826970"/>
    <w:rsid w:val="008D03FF"/>
    <w:rsid w:val="008F5157"/>
    <w:rsid w:val="009126DE"/>
    <w:rsid w:val="009351D6"/>
    <w:rsid w:val="009D3D52"/>
    <w:rsid w:val="00AC29B7"/>
    <w:rsid w:val="00AE1A37"/>
    <w:rsid w:val="00B5116E"/>
    <w:rsid w:val="00BB707C"/>
    <w:rsid w:val="00C037A7"/>
    <w:rsid w:val="00C75C58"/>
    <w:rsid w:val="00D13B01"/>
    <w:rsid w:val="00DC65B7"/>
    <w:rsid w:val="00EA2C9F"/>
    <w:rsid w:val="1B7345C7"/>
    <w:rsid w:val="35D60BD5"/>
    <w:rsid w:val="3EED9265"/>
    <w:rsid w:val="3FF4E83A"/>
    <w:rsid w:val="4EEBB496"/>
    <w:rsid w:val="5FEDED1A"/>
    <w:rsid w:val="7BEF03A4"/>
    <w:rsid w:val="7BFDDA3E"/>
    <w:rsid w:val="EF5ADD45"/>
    <w:rsid w:val="F1F50857"/>
    <w:rsid w:val="F3FD117F"/>
    <w:rsid w:val="FB6F1DF5"/>
    <w:rsid w:val="FBFE670E"/>
    <w:rsid w:val="FCFEB3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2"/>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23"/>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6"/>
    <w:unhideWhenUsed/>
    <w:qFormat/>
    <w:uiPriority w:val="99"/>
    <w:pPr>
      <w:tabs>
        <w:tab w:val="center" w:pos="4153"/>
        <w:tab w:val="right" w:pos="8306"/>
      </w:tabs>
      <w:snapToGrid w:val="0"/>
      <w:spacing w:line="240" w:lineRule="auto"/>
    </w:pPr>
    <w:rPr>
      <w:sz w:val="18"/>
      <w:szCs w:val="18"/>
    </w:rPr>
  </w:style>
  <w:style w:type="paragraph" w:styleId="12">
    <w:name w:val="header"/>
    <w:basedOn w:val="1"/>
    <w:link w:val="35"/>
    <w:unhideWhenUsed/>
    <w:qFormat/>
    <w:uiPriority w:val="99"/>
    <w:pPr>
      <w:tabs>
        <w:tab w:val="center" w:pos="4153"/>
        <w:tab w:val="right" w:pos="8306"/>
      </w:tabs>
      <w:snapToGrid w:val="0"/>
      <w:spacing w:line="240" w:lineRule="auto"/>
      <w:jc w:val="center"/>
    </w:pPr>
    <w:rPr>
      <w:sz w:val="18"/>
      <w:szCs w:val="18"/>
    </w:rPr>
  </w:style>
  <w:style w:type="paragraph" w:styleId="13">
    <w:name w:val="Subtitle"/>
    <w:basedOn w:val="1"/>
    <w:next w:val="1"/>
    <w:link w:val="27"/>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qFormat/>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6"/>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6"/>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6"/>
    <w:link w:val="5"/>
    <w:semiHidden/>
    <w:qFormat/>
    <w:uiPriority w:val="9"/>
    <w:rPr>
      <w:rFonts w:cstheme="majorBidi"/>
      <w:color w:val="104862" w:themeColor="accent1" w:themeShade="BF"/>
      <w:sz w:val="28"/>
      <w:szCs w:val="28"/>
    </w:rPr>
  </w:style>
  <w:style w:type="character" w:customStyle="1" w:styleId="21">
    <w:name w:val="标题 5 字符"/>
    <w:basedOn w:val="16"/>
    <w:link w:val="6"/>
    <w:semiHidden/>
    <w:qFormat/>
    <w:uiPriority w:val="9"/>
    <w:rPr>
      <w:rFonts w:cstheme="majorBidi"/>
      <w:color w:val="104862" w:themeColor="accent1" w:themeShade="BF"/>
      <w:sz w:val="24"/>
    </w:rPr>
  </w:style>
  <w:style w:type="character" w:customStyle="1" w:styleId="22">
    <w:name w:val="标题 6 字符"/>
    <w:basedOn w:val="16"/>
    <w:link w:val="7"/>
    <w:semiHidden/>
    <w:qFormat/>
    <w:uiPriority w:val="9"/>
    <w:rPr>
      <w:rFonts w:cstheme="majorBidi"/>
      <w:b/>
      <w:bCs/>
      <w:color w:val="104862" w:themeColor="accent1" w:themeShade="BF"/>
    </w:rPr>
  </w:style>
  <w:style w:type="character" w:customStyle="1" w:styleId="23">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明显强调1"/>
    <w:basedOn w:val="16"/>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明显引用 字符"/>
    <w:basedOn w:val="16"/>
    <w:link w:val="32"/>
    <w:qFormat/>
    <w:uiPriority w:val="30"/>
    <w:rPr>
      <w:i/>
      <w:iCs/>
      <w:color w:val="104862" w:themeColor="accent1" w:themeShade="BF"/>
    </w:rPr>
  </w:style>
  <w:style w:type="character" w:customStyle="1" w:styleId="34">
    <w:name w:val="明显参考1"/>
    <w:basedOn w:val="16"/>
    <w:qFormat/>
    <w:uiPriority w:val="32"/>
    <w:rPr>
      <w:b/>
      <w:bCs/>
      <w:smallCaps/>
      <w:color w:val="104862" w:themeColor="accent1" w:themeShade="BF"/>
      <w:spacing w:val="5"/>
    </w:rPr>
  </w:style>
  <w:style w:type="character" w:customStyle="1" w:styleId="35">
    <w:name w:val="页眉 字符"/>
    <w:basedOn w:val="16"/>
    <w:link w:val="12"/>
    <w:qFormat/>
    <w:uiPriority w:val="99"/>
    <w:rPr>
      <w:kern w:val="2"/>
      <w:sz w:val="18"/>
      <w:szCs w:val="18"/>
      <w14:ligatures w14:val="standardContextual"/>
    </w:rPr>
  </w:style>
  <w:style w:type="character" w:customStyle="1" w:styleId="36">
    <w:name w:val="页脚 字符"/>
    <w:basedOn w:val="16"/>
    <w:link w:val="11"/>
    <w:qFormat/>
    <w:uiPriority w:val="99"/>
    <w:rPr>
      <w:kern w:val="2"/>
      <w:sz w:val="18"/>
      <w:szCs w:val="18"/>
      <w14:ligatures w14:val="standardContextual"/>
    </w:rPr>
  </w:style>
  <w:style w:type="paragraph" w:customStyle="1" w:styleId="37">
    <w:name w:val="修订3"/>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Pages>1</Pages>
  <Words>542</Words>
  <Characters>635</Characters>
  <Lines>10</Lines>
  <Paragraphs>27</Paragraphs>
  <TotalTime>0</TotalTime>
  <ScaleCrop>false</ScaleCrop>
  <LinksUpToDate>false</LinksUpToDate>
  <CharactersWithSpaces>635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2025-10-12T23:19:00Z</dcterms:created>
  <dc:creator>鸿飞 宋</dc:creator>
  <cp:lastModifiedBy>段池</cp:lastModifiedBy>
  <dcterms:modified xsi:type="dcterms:W3CDTF">2025-11-24T07:12:11Z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599745F40669EAE0F8C1EA686E49579C_42</vt:lpwstr>
  </property>
  <property fmtid="{D5CDD505-2E9C-101B-9397-08002B2CF9AE}" pid="4" name="KSOTemplateDocerSaveRecord">
    <vt:lpwstr>eyJoZGlkIjoiMmVkMDYxNzg5YmJlZTUyODViYzkzNjVhMDVhMDUzYTYiLCJ1c2VySWQiOiIxNjg1MTkxNzc3In0=</vt:lpwstr>
  </property>
</Properties>
</file>