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9705F">
      <w:pPr>
        <w:rPr>
          <w:rFonts w:hint="eastAsia"/>
        </w:rPr>
      </w:pPr>
      <w:r>
        <w:rPr>
          <w:rFonts w:hint="eastAsia"/>
        </w:rPr>
        <w:t>1用途：专用于实验动物设施中对动物垫料、饮用水、笼盒、实验器械、衣物及其他与实验相关物品的灭菌处理。</w:t>
      </w:r>
    </w:p>
    <w:p w14:paraId="4928BBB6">
      <w:pPr>
        <w:rPr>
          <w:rFonts w:hint="eastAsia"/>
        </w:rPr>
      </w:pPr>
      <w:r>
        <w:rPr>
          <w:rFonts w:hint="eastAsia"/>
        </w:rPr>
        <w:t>2安装方式：地上安装。</w:t>
      </w:r>
    </w:p>
    <w:p w14:paraId="3AB60EBB">
      <w:pPr>
        <w:rPr>
          <w:rFonts w:hint="eastAsia"/>
        </w:rPr>
      </w:pPr>
      <w:r>
        <w:rPr>
          <w:rFonts w:hint="eastAsia"/>
        </w:rPr>
        <w:t>3容积≥1200L，单次灭菌小鼠笼盒盒底不少于180套，大鼠笼盒盒底不少于48套；灭菌室尺寸和外形尺寸不做严格限定，大小满足现场空间条件即可，不能影响现有场地的安装和使用。</w:t>
      </w:r>
    </w:p>
    <w:p w14:paraId="755FFF10">
      <w:pPr>
        <w:rPr>
          <w:rFonts w:hint="eastAsia"/>
        </w:rPr>
      </w:pPr>
      <w:r>
        <w:rPr>
          <w:rFonts w:hint="eastAsia"/>
          <w:color w:val="C00000"/>
        </w:rPr>
        <w:t>4</w:t>
      </w:r>
      <w:r>
        <w:rPr>
          <w:rFonts w:hint="eastAsia"/>
        </w:rPr>
        <w:t>主体结构：环形加强筋结构，内腔强度和稳定性更高；内壳、环形加强筋均采用316L不锈钢材质，夹套、门板、门档条采用304不锈钢；主体设计寿命不少于15年（至少30000次灭菌循环），提供环形加强筋照片证明、产品质量证明书中环形加强筋检验要求证明、压力容器产品数据表证明。</w:t>
      </w:r>
    </w:p>
    <w:p w14:paraId="7EC8EE90">
      <w:pPr>
        <w:rPr>
          <w:rFonts w:hint="eastAsia"/>
        </w:rPr>
      </w:pPr>
      <w:r>
        <w:rPr>
          <w:rFonts w:hint="eastAsia"/>
        </w:rPr>
        <w:t>5焊接工艺：为保证灭菌器焊接质量，所生产柜体需自主焊接，不可委托第三方焊接加工。</w:t>
      </w:r>
    </w:p>
    <w:p w14:paraId="7D74FDEC">
      <w:pPr>
        <w:rPr>
          <w:rFonts w:hint="eastAsia"/>
        </w:rPr>
      </w:pPr>
      <w:r>
        <w:rPr>
          <w:rFonts w:hint="eastAsia"/>
        </w:rPr>
        <w:t>6密封门：双门通道型、电动平移门、上下左右四方卡条受力与门板采用四方啮合；带有压力安全联锁装置；双门互锁不能同时开启，保证灭菌器前后区域的有效隔离（提供图纸实物照片佐证、权威第三方出具的安全联锁装置鉴定证书）。</w:t>
      </w:r>
    </w:p>
    <w:p w14:paraId="0C3E516E">
      <w:pPr>
        <w:rPr>
          <w:rFonts w:hint="eastAsia"/>
        </w:rPr>
      </w:pPr>
      <w:r>
        <w:rPr>
          <w:rFonts w:hint="eastAsia"/>
          <w:color w:val="C00000"/>
        </w:rPr>
        <w:t>7</w:t>
      </w:r>
      <w:r>
        <w:rPr>
          <w:rFonts w:hint="eastAsia"/>
        </w:rPr>
        <w:t>密封门结构要求：为保证设备安全性，门密封胶条槽应与柜体一体成型，门板为厚度≥30mm整板S30408不锈钢，拒绝使用加强筋组合拼接焊接；拒接受门密封胶条槽焊接于柜体的形式，提供门密封胶条槽与主体连接处实物照片证明。</w:t>
      </w:r>
    </w:p>
    <w:p w14:paraId="4DC6A4D4">
      <w:pPr>
        <w:rPr>
          <w:rFonts w:hint="eastAsia"/>
        </w:rPr>
      </w:pPr>
      <w:r>
        <w:rPr>
          <w:rFonts w:hint="eastAsia"/>
        </w:rPr>
        <w:t>8门密封圈：耐高温硅胶条，装于主体密封槽内，不可装置于门板上，与压缩气连接管路为金属固定管路。</w:t>
      </w:r>
    </w:p>
    <w:p w14:paraId="58AE37E0">
      <w:pPr>
        <w:rPr>
          <w:rFonts w:hint="eastAsia"/>
        </w:rPr>
      </w:pPr>
      <w:r>
        <w:rPr>
          <w:rFonts w:hint="eastAsia"/>
        </w:rPr>
        <w:t>9隔离密封墙：设备的后端应自带密封结构，以保证设备前后区域严格的隔离密封，拆卸压力表不能前后区域通风，提供图片和第三方出具的隔离密封墙检测报告。</w:t>
      </w:r>
    </w:p>
    <w:p w14:paraId="2EA26491">
      <w:pPr>
        <w:rPr>
          <w:rFonts w:hint="eastAsia"/>
        </w:rPr>
      </w:pPr>
      <w:r>
        <w:rPr>
          <w:rFonts w:hint="eastAsia"/>
          <w:color w:val="C00000"/>
        </w:rPr>
        <w:t>10</w:t>
      </w:r>
      <w:r>
        <w:rPr>
          <w:rFonts w:hint="eastAsia"/>
        </w:rPr>
        <w:t>夹层设计压力≥0.3MPa内室设计压力≥-0.1/0.25 MPa，设计温度≥144℃，内室耐压试验压力≥0.38MPa。</w:t>
      </w:r>
    </w:p>
    <w:p w14:paraId="26F8E080">
      <w:pPr>
        <w:rPr>
          <w:rFonts w:hint="eastAsia"/>
        </w:rPr>
      </w:pPr>
      <w:r>
        <w:rPr>
          <w:rFonts w:hint="eastAsia"/>
        </w:rPr>
        <w:t>11控制系统：采用可编程控制器PLC和扩展模块、≥7寸彩色触摸液晶屏、打印机，预留电脑远程监控接口，可连接电脑记录；人机操作界面，可显示灭菌程序的压力、温度、时间等参数，运行过程中的数据通过打印机打印。</w:t>
      </w:r>
    </w:p>
    <w:p w14:paraId="34C94F77">
      <w:pPr>
        <w:rPr>
          <w:rFonts w:hint="eastAsia"/>
        </w:rPr>
      </w:pPr>
      <w:r>
        <w:rPr>
          <w:rFonts w:hint="eastAsia"/>
        </w:rPr>
        <w:t>12辅控系统：利用压力变送器、温度变送器、限位开关、水位计等采集数据，控制气动阀、远程压缩空气开关、真空泵等，执行灭菌程序。</w:t>
      </w:r>
    </w:p>
    <w:p w14:paraId="29FA4E37">
      <w:pPr>
        <w:rPr>
          <w:rFonts w:hint="eastAsia"/>
        </w:rPr>
      </w:pPr>
      <w:bookmarkStart w:id="0" w:name="_GoBack"/>
      <w:r>
        <w:rPr>
          <w:rFonts w:hint="eastAsia"/>
          <w:color w:val="C00000"/>
        </w:rPr>
        <w:t>13</w:t>
      </w:r>
      <w:bookmarkEnd w:id="0"/>
      <w:r>
        <w:rPr>
          <w:rFonts w:hint="eastAsia"/>
        </w:rPr>
        <w:t>程序选择：设备预制有121℃饲料灭菌、121℃塑料物品灭菌、134℃金属物品灭菌、134℃织物灭菌、121℃开口容器液体灭菌、121℃固体废弃物灭菌、134℃垫料灭菌、134℃塑料物品灭菌、121℃快速液体程序、BD测试、真空测试以及自定义程序。整个过程自动控制、有低温、高温报警和误操作保护提示，具有管理员、操作员权限管理。</w:t>
      </w:r>
    </w:p>
    <w:p w14:paraId="0297607D">
      <w:pPr>
        <w:rPr>
          <w:rFonts w:hint="eastAsia"/>
        </w:rPr>
      </w:pPr>
      <w:r>
        <w:rPr>
          <w:rFonts w:hint="eastAsia"/>
        </w:rPr>
        <w:t>14抽真空装置：采用单级直连式水环真空泵，噪音≤55分贝（提供第三方检测报告）、稳定性好，真空泵安装在设备的侧面，与主体保持一定的间距，真空泵需配备消音功能，55～800mbar 之间运行噪音低。</w:t>
      </w:r>
    </w:p>
    <w:p w14:paraId="045D39FC">
      <w:pPr>
        <w:rPr>
          <w:rFonts w:hint="eastAsia"/>
        </w:rPr>
      </w:pPr>
      <w:r>
        <w:rPr>
          <w:rFonts w:hint="eastAsia"/>
        </w:rPr>
        <w:t>15冷凝换热装置：板式换热器，换热效率≥95%，使用寿命长。</w:t>
      </w:r>
    </w:p>
    <w:p w14:paraId="0786303A">
      <w:pPr>
        <w:rPr>
          <w:rFonts w:hint="eastAsia"/>
        </w:rPr>
      </w:pPr>
      <w:r>
        <w:rPr>
          <w:rFonts w:hint="eastAsia"/>
        </w:rPr>
        <w:t>16运行周期：满载运行时间≤60分钟，确保干燥、效果良好。</w:t>
      </w:r>
    </w:p>
    <w:p w14:paraId="41F4C39A">
      <w:pPr>
        <w:rPr>
          <w:rFonts w:hint="eastAsia"/>
        </w:rPr>
      </w:pPr>
      <w:r>
        <w:rPr>
          <w:rFonts w:hint="eastAsia"/>
        </w:rPr>
        <w:t>17管路系统：全部采用304不锈钢卫生级管件，不锈钢气动阀组合而成，管路需有良好的保温措施，确保工作中外表面温度不得高于45℃；管道厚度≥1.2 mm，管路内外光滑处理，排水管管径≥40mm，设计合理；卫生级管路卡箍连接，管路内外抛光处理。</w:t>
      </w:r>
    </w:p>
    <w:p w14:paraId="6600D1C6">
      <w:pPr>
        <w:rPr>
          <w:rFonts w:hint="eastAsia"/>
        </w:rPr>
      </w:pPr>
      <w:r>
        <w:rPr>
          <w:rFonts w:hint="eastAsia"/>
        </w:rPr>
        <w:t>18保温要求：灭菌器和蒸汽发生器主体有良好保温措施，不锈钢或铝皮外表面保温罩；其表层温度≤45℃；提供保温罩照片证明。</w:t>
      </w:r>
    </w:p>
    <w:p w14:paraId="487C8247">
      <w:pPr>
        <w:rPr>
          <w:rFonts w:hint="eastAsia"/>
        </w:rPr>
      </w:pPr>
      <w:r>
        <w:rPr>
          <w:rFonts w:hint="eastAsia"/>
        </w:rPr>
        <w:t>19水回收装置：板式换热器冷凝水回收系统，节约能源。</w:t>
      </w:r>
    </w:p>
    <w:p w14:paraId="6B9EC677">
      <w:pPr>
        <w:rPr>
          <w:rFonts w:hint="eastAsia"/>
        </w:rPr>
      </w:pPr>
      <w:r>
        <w:rPr>
          <w:rFonts w:hint="eastAsia"/>
        </w:rPr>
        <w:t>20灭菌室满载的灭菌时间和灭菌后物品要求：物品灭菌程序（含脉动、升温、灭菌、干燥）的总时长不超过50分钟，液体灭菌程序（含置换、升温、灭菌、排汽）不超过60分钟；灭菌完的垫料、洁净服等必须保持干燥，不得出现湿包现象。</w:t>
      </w:r>
    </w:p>
    <w:p w14:paraId="4530B9EB">
      <w:pPr>
        <w:rPr>
          <w:rFonts w:hint="eastAsia"/>
        </w:rPr>
      </w:pPr>
      <w:r>
        <w:rPr>
          <w:rFonts w:hint="eastAsia"/>
        </w:rPr>
        <w:t>21记录方式：内置打印机打印，可连接电脑记录；记录内容包括但不限于灭菌过程的温度、压力、时间、过程阶段等，同时也应在触摸液晶屏上自动显示。</w:t>
      </w:r>
    </w:p>
    <w:p w14:paraId="79593B6B">
      <w:pPr>
        <w:rPr>
          <w:rFonts w:hint="eastAsia"/>
        </w:rPr>
      </w:pPr>
      <w:r>
        <w:rPr>
          <w:rFonts w:hint="eastAsia"/>
        </w:rPr>
        <w:t>22设备须取得的报告：设备需取得笼盒灭菌效果第三方检测报告，卫生安全评价报告。</w:t>
      </w:r>
    </w:p>
    <w:p w14:paraId="6F4969E9">
      <w:pPr>
        <w:rPr>
          <w:rFonts w:hint="eastAsia"/>
        </w:rPr>
      </w:pPr>
      <w:r>
        <w:rPr>
          <w:rFonts w:hint="eastAsia"/>
        </w:rPr>
        <w:t>23电源：380V/50HZ，总额定功率（含真空泵、控制系统）≤4.5kW。</w:t>
      </w:r>
    </w:p>
    <w:p w14:paraId="6E70FB2A">
      <w:pPr>
        <w:rPr>
          <w:rFonts w:hint="eastAsia"/>
        </w:rPr>
      </w:pPr>
      <w:r>
        <w:rPr>
          <w:rFonts w:hint="eastAsia"/>
        </w:rPr>
        <w:t>24消毒/搬运车：每台配置适用于升降平台的消毒内车6辆、无需外搬运车，消毒内车尺寸设置可无障碍通过屏障设施内常闭式门（净通过尺寸，宽度≤900mm）。</w:t>
      </w:r>
    </w:p>
    <w:p w14:paraId="7F606D45">
      <w:pPr>
        <w:rPr>
          <w:rFonts w:hint="eastAsia"/>
        </w:rPr>
      </w:pPr>
      <w:r>
        <w:rPr>
          <w:rFonts w:hint="eastAsia"/>
        </w:rPr>
        <w:t>25前后门均配置电动液压自动升降平台，台面高度调节范围：最低≤90mm，最高≥400mm；供电：380VAC，功率≤1.1KW。可升降台面尺寸≥800x800mm（长x宽），台面采用厚度≥5mm的304或更优不锈钢板，承重≥600kg；台面两侧带挡边，防止物品滑落；配备不少于2个液压油缸，带防爆阀；单独的开关控制，上升速度10-20s，自重力下降；配备带导轨的斜坡，便于物品上下升降台面。</w:t>
      </w:r>
    </w:p>
    <w:p w14:paraId="314CE960">
      <w:pPr>
        <w:rPr>
          <w:rFonts w:hint="eastAsia"/>
        </w:rPr>
      </w:pPr>
      <w:r>
        <w:rPr>
          <w:rFonts w:hint="eastAsia"/>
        </w:rPr>
        <w:t>26配置要求（每套配置）包括但不限于：脉动蒸汽灭菌器（大型）1台，含：灭菌器主体1台、密封门2个、触摸屏控制系统1套、管路系统1套、真空泵1台等；电动液压自动升降平台2套；灭菌器消毒内车6辆；与脉动真空灭菌器规格型号和数量配套的备用安全阀和压力表，前后门密封条1套。</w:t>
      </w:r>
    </w:p>
    <w:p w14:paraId="6EA1E4B5">
      <w:pPr>
        <w:rPr>
          <w:rFonts w:hint="eastAsia"/>
        </w:rPr>
      </w:pPr>
      <w:r>
        <w:rPr>
          <w:rFonts w:hint="eastAsia"/>
        </w:rPr>
        <w:t>27包含旧设备拆除、新设备安装、现场预留设备排水管路升级更换，维护好现场其他设施设备。排水管路更换要求采用≥DN100、壁厚≥3.5mm，304不锈钢管路。</w:t>
      </w:r>
    </w:p>
    <w:p w14:paraId="30771D6F">
      <w:r>
        <w:t> 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5164BF">
    <w:pPr>
      <w:pStyle w:val="3"/>
      <w:spacing w:before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4749BC">
    <w:pPr>
      <w:pStyle w:val="3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4A159">
    <w:pPr>
      <w:pStyle w:val="3"/>
      <w:spacing w:before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  <w:ind w:firstLine="420"/>
      </w:pPr>
      <w:r>
        <w:separator/>
      </w:r>
    </w:p>
  </w:footnote>
  <w:footnote w:type="continuationSeparator" w:id="1">
    <w:p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4C05BE">
    <w:pPr>
      <w:pStyle w:val="4"/>
      <w:spacing w:before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A51E7">
    <w:pPr>
      <w:pStyle w:val="4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2AC19A">
    <w:pPr>
      <w:pStyle w:val="4"/>
      <w:spacing w:before="12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66F"/>
    <w:rsid w:val="00255E36"/>
    <w:rsid w:val="002C1160"/>
    <w:rsid w:val="003D4014"/>
    <w:rsid w:val="006F571D"/>
    <w:rsid w:val="00AA2FA1"/>
    <w:rsid w:val="00B0766F"/>
    <w:rsid w:val="00CF37DE"/>
    <w:rsid w:val="14A5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N w:val="0"/>
      <w:snapToGrid w:val="0"/>
      <w:spacing w:before="156" w:beforeLines="5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link w:val="7"/>
    <w:qFormat/>
    <w:uiPriority w:val="9"/>
    <w:pPr>
      <w:keepNext/>
      <w:keepLines/>
      <w:outlineLvl w:val="0"/>
    </w:pPr>
    <w:rPr>
      <w:rFonts w:ascii="Times New Roman" w:hAnsi="Times New Roman" w:eastAsia="方正小标宋_GBK" w:cstheme="minorBidi"/>
      <w:b/>
      <w:bCs/>
      <w:kern w:val="44"/>
      <w:sz w:val="44"/>
      <w:szCs w:val="4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7">
    <w:name w:val="标题 1 字符"/>
    <w:basedOn w:val="6"/>
    <w:link w:val="2"/>
    <w:qFormat/>
    <w:uiPriority w:val="9"/>
    <w:rPr>
      <w:rFonts w:ascii="Times New Roman" w:hAnsi="Times New Roman" w:eastAsia="方正小标宋_GBK"/>
      <w:b/>
      <w:bCs/>
      <w:kern w:val="44"/>
      <w:sz w:val="44"/>
      <w:szCs w:val="44"/>
    </w:rPr>
  </w:style>
  <w:style w:type="paragraph" w:styleId="8">
    <w:name w:val="List Paragraph"/>
    <w:basedOn w:val="1"/>
    <w:unhideWhenUsed/>
    <w:qFormat/>
    <w:uiPriority w:val="99"/>
  </w:style>
  <w:style w:type="character" w:customStyle="1" w:styleId="9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1971</Words>
  <Characters>2144</Characters>
  <Lines>35</Lines>
  <Paragraphs>27</Paragraphs>
  <TotalTime>1</TotalTime>
  <ScaleCrop>false</ScaleCrop>
  <LinksUpToDate>false</LinksUpToDate>
  <CharactersWithSpaces>2147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2025-11-13T07:25:00Z</dcterms:created>
  <dc:creator>Feng</dc:creator>
  <cp:lastModifiedBy>段池</cp:lastModifiedBy>
  <dcterms:modified xsi:type="dcterms:W3CDTF">2026-03-20T07:31:34Z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eyJoZGlkIjoiMmVkMDYxNzg5YmJlZTUyODViYzkzNjVhMDVhMDUzYTYiLCJ1c2VySWQiOiIxNjg1MTkxNzc3In0=</vt:lpwstr>
  </property>
  <property fmtid="{D5CDD505-2E9C-101B-9397-08002B2CF9AE}" pid="3" name="KSOProductBuildVer">
    <vt:lpwstr>2052-12.1.0.22529</vt:lpwstr>
  </property>
  <property fmtid="{D5CDD505-2E9C-101B-9397-08002B2CF9AE}" pid="4" name="ICV">
    <vt:lpwstr>6928C2C2F2A841B3919D6D34A2B658B3_12</vt:lpwstr>
  </property>
</Properties>
</file>