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B278C8">
      <w:pPr>
        <w:spacing w:line="360" w:lineRule="auto"/>
        <w:jc w:val="center"/>
        <w:rPr>
          <w:rFonts w:ascii="Times New Roman" w:hAnsi="Times New Roman" w:eastAsia="华文仿宋" w:cs="Times New Roman"/>
          <w:b/>
          <w:bCs/>
          <w:sz w:val="32"/>
          <w:szCs w:val="32"/>
        </w:rPr>
      </w:pPr>
      <w:r>
        <w:rPr>
          <w:rFonts w:ascii="Times New Roman" w:hAnsi="Times New Roman" w:eastAsia="华文仿宋" w:cs="Times New Roman"/>
          <w:b/>
          <w:bCs/>
          <w:sz w:val="32"/>
          <w:szCs w:val="32"/>
        </w:rPr>
        <w:t>细胞成像多功能检测系统</w:t>
      </w:r>
    </w:p>
    <w:p w14:paraId="41E51838">
      <w:pPr>
        <w:spacing w:line="360" w:lineRule="auto"/>
        <w:jc w:val="center"/>
        <w:rPr>
          <w:rFonts w:ascii="Times New Roman" w:hAnsi="Times New Roman" w:eastAsia="华文仿宋" w:cs="Times New Roman"/>
          <w:b/>
          <w:bCs/>
          <w:sz w:val="32"/>
          <w:szCs w:val="32"/>
        </w:rPr>
      </w:pPr>
      <w:r>
        <w:rPr>
          <w:rFonts w:ascii="Times New Roman" w:hAnsi="Times New Roman" w:eastAsia="华文仿宋" w:cs="Times New Roman"/>
          <w:b/>
          <w:bCs/>
          <w:sz w:val="32"/>
          <w:szCs w:val="32"/>
        </w:rPr>
        <w:t>技术参数</w:t>
      </w:r>
    </w:p>
    <w:p w14:paraId="24C2B6AB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1.模块要求：主机内置双转盘共聚焦荧光（40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μm及60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μm两个转盘），倒置大视野宽场荧光，高对比明场，相差场，彩色明场成像模块以及紫外/可见吸收光，荧光，时间分辨荧光，化学发光检测模块，并配置可同时完成八块孔板/培养皿/培养瓶全自动活细胞自动培养模块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气体均可单独控制和在线监控的模块，全自动划痕模块，</w:t>
      </w:r>
      <w:r>
        <w:rPr>
          <w:rFonts w:ascii="Times New Roman" w:hAnsi="Times New Roman" w:eastAsia="华文仿宋" w:cs="Times New Roman"/>
          <w:color w:val="000000"/>
          <w:sz w:val="24"/>
        </w:rPr>
        <w:t>全自动水镜模块，</w:t>
      </w:r>
      <w:r>
        <w:rPr>
          <w:rFonts w:ascii="Times New Roman" w:hAnsi="Times New Roman" w:eastAsia="华文仿宋" w:cs="Times New Roman"/>
          <w:sz w:val="24"/>
        </w:rPr>
        <w:t>自动化双通道原位加药模块，机械臂自动化操作模块，高内涵分析模块，所有模块可同时安装使用，无须拆卸。</w:t>
      </w:r>
    </w:p>
    <w:p w14:paraId="5CE67BB6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2. 检测方法：成像检测、终点法，动力学，光谱扫描，孔域扫描。</w:t>
      </w:r>
    </w:p>
    <w:p w14:paraId="1124DACC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3 兼容耗材类型：兼容国产或进口的4,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6,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12,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24,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48,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96,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384,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1536孔板，玻片，T25细胞培养瓶，35mm、60mm、100mm规格细胞培养皿，16道和48道超微量多体积检测板。</w:t>
      </w:r>
    </w:p>
    <w:p w14:paraId="4DEA8A3E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4 温度控制：室温 +4℃至 45℃，在37℃≤±0.5℃，可进行预热操作，可进行温度梯度控制。</w:t>
      </w:r>
    </w:p>
    <w:p w14:paraId="39C646F6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5 震荡：线性、轨道、双轨道振荡，振荡速度、时间数字可调。</w:t>
      </w:r>
    </w:p>
    <w:p w14:paraId="08AB6B71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6 自动化兼容：可兼容自动化仪器，进行高通量微孔板处理工作。</w:t>
      </w:r>
    </w:p>
    <w:p w14:paraId="570AC405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7 探头高度调整：探头高度可在0-16mm范围内进行自动扫描，选择最佳检测探头高度。</w:t>
      </w:r>
    </w:p>
    <w:p w14:paraId="530EC50A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8 孔域扫描：高精度孔域扫描，最多可选99×99点矩阵扫描，并可根据扫描结果给出模拟热感图。</w:t>
      </w:r>
    </w:p>
    <w:p w14:paraId="05A30A94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9 气体控制：配有独立气体控制模块，控制O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浓度。CO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浓度范围：0-20%，O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浓度范围：1-19%。分辨率≤±0.1%，支持气体实时监控，报警。</w:t>
      </w:r>
    </w:p>
    <w:p w14:paraId="5AD97288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10 检测速度：96 孔：≤11 秒；384 孔：≤22 秒。</w:t>
      </w:r>
    </w:p>
    <w:p w14:paraId="554320DB">
      <w:pPr>
        <w:spacing w:before="120" w:line="360" w:lineRule="auto"/>
        <w:ind w:firstLine="240" w:firstLineChars="10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11荧光检测</w:t>
      </w:r>
    </w:p>
    <w:p w14:paraId="0B504867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11.1光源：高能量氙闪灯（荧光强度检测，时间分辨荧光，光谱扫描）有低、高两种能量强度。</w:t>
      </w:r>
    </w:p>
    <w:p w14:paraId="21F65EE7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11.2波长范围：单色器: 250-850nm, 1nm步进。</w:t>
      </w:r>
    </w:p>
    <w:p w14:paraId="03A38256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11.3波长选择：四光栅单色器。</w:t>
      </w:r>
    </w:p>
    <w:p w14:paraId="32CBDC7C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11.4带宽：单色器：激发和发射双侧带宽9-50nm可调，以1nm连续步进。</w:t>
      </w:r>
    </w:p>
    <w:p w14:paraId="51D64036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11.5顶部检测灵敏度：单色器: ≤2.5 pM 荧光素 (0.25 fmol/孔 384孔板)。</w:t>
      </w:r>
    </w:p>
    <w:p w14:paraId="236A362E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11.6底部检测灵敏度：单色器: ≤4 pM 荧光素 (0.4 fmol/孔 384孔板)。</w:t>
      </w:r>
    </w:p>
    <w:p w14:paraId="3CAD3F07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11.7检测器：光子整合PMT。</w:t>
      </w:r>
    </w:p>
    <w:p w14:paraId="5D57D1D9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11.8荧光光谱扫描：可进行激发光及发射光扫描，1nm连续步进。</w:t>
      </w:r>
    </w:p>
    <w:p w14:paraId="2229BFCB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12发光检测</w:t>
      </w:r>
    </w:p>
    <w:p w14:paraId="36AF8C6A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12.1波长范围：300-850nm。</w:t>
      </w:r>
    </w:p>
    <w:p w14:paraId="07AA84CB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12.2动态范围： &gt; 6个数量级，具有动态扩展功能，动态扩展检测范围。</w:t>
      </w:r>
    </w:p>
    <w:p w14:paraId="33B521C2">
      <w:pPr>
        <w:spacing w:before="120" w:line="360" w:lineRule="auto"/>
        <w:ind w:firstLine="220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12.3灵敏度(ATP)：≤10 amol /孔 ATP闪光分析 ( 96孔 ) 100amol/孔 辉光分析。</w:t>
      </w:r>
    </w:p>
    <w:p w14:paraId="46DCEA4A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12.4发光扫描：可在300-850nm范围内进行发光扫描,1nm步进，绘制发光扫描图。</w:t>
      </w:r>
    </w:p>
    <w:p w14:paraId="06F3174C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13吸收光检测</w:t>
      </w:r>
    </w:p>
    <w:p w14:paraId="36D16D97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13.1光源：高能量氙闪灯。</w:t>
      </w:r>
    </w:p>
    <w:p w14:paraId="1B660F6D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13.2波长范围：230-999 nm, 1 nm 步进。</w:t>
      </w:r>
    </w:p>
    <w:p w14:paraId="356A8CB5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13.3带宽：≤4nm (230-285nm), ≤8nm (&gt;285nm)。</w:t>
      </w:r>
    </w:p>
    <w:p w14:paraId="53A4D9DD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13.4测量范围：0-4.0 OD。</w:t>
      </w:r>
    </w:p>
    <w:p w14:paraId="7646D284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13.5 OD分辨率：≤0.0001 OD。</w:t>
      </w:r>
    </w:p>
    <w:p w14:paraId="74AC8B90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13.6光路径校正：具备光路径长度校正功能。</w:t>
      </w:r>
    </w:p>
    <w:p w14:paraId="18ED349D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3.14成像系统</w:t>
      </w:r>
    </w:p>
    <w:p w14:paraId="5F082AB9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14.1成像模式：双转盘共聚焦荧光，倒置大视野宽场荧光，高对比明场，相差场和彩色明场成像模块。</w:t>
      </w:r>
    </w:p>
    <w:p w14:paraId="575BE42E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14.2检测方法：终点法，时间延迟法，动力学法，孔模式，蒙太奇拼接，Z轴叠加。</w:t>
      </w:r>
    </w:p>
    <w:p w14:paraId="7B4DA4E7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14.3光源：共聚焦成像配有六色谱线固体激光器（波长：405nm、445nm、470nm、520nm、555nm、640nm）；宽场成像配有至少四色独立的LED长寿命光源，支持选配至少20种独立的LED长寿命光源。</w:t>
      </w:r>
    </w:p>
    <w:p w14:paraId="6CBC3D35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14.4相机：sCMOS相机，科学级灰度16bit，像素点尺寸≥6.5um，量子效率≥80%在525nm处。</w:t>
      </w:r>
    </w:p>
    <w:p w14:paraId="0C850DDF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14.5 荧光滤光片通道容量：共聚焦≥5位；宽场成像 ≥4位。</w:t>
      </w:r>
    </w:p>
    <w:p w14:paraId="6771E1FA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14.6物镜：六孔物镜转盘，同时配有4X N.A.0.13，10X N.A.0.3，10X相差N.A.0.3,20X N.A.0.45,40X N.A.0.6,60X N.A.0.7，无需拆换，同时使用。</w:t>
      </w:r>
    </w:p>
    <w:p w14:paraId="16F715FB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14.7荧光成像通道：</w:t>
      </w:r>
    </w:p>
    <w:p w14:paraId="2012EFB7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共聚焦：配有CY5, DAPI, GFP, TRITC四组共聚焦滤光片组。</w:t>
      </w:r>
    </w:p>
    <w:p w14:paraId="1182F56F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宽场成像：配有DAPI, GFP, Texas Red,CY5四组滤光片组，可选配至少20种荧光滤光片组。</w:t>
      </w:r>
    </w:p>
    <w:p w14:paraId="680E4E68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14.8 共聚焦转盘尺寸：配置40um及60um两个尺寸规格共聚焦转盘。</w:t>
      </w:r>
    </w:p>
    <w:p w14:paraId="07E2D6A2">
      <w:pPr>
        <w:spacing w:before="120"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14.9聚焦方式：硬件激光自动聚焦模式，图像全自动聚焦模式，手动聚焦模式三种。</w:t>
      </w:r>
    </w:p>
    <w:p w14:paraId="2450B914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14.10 Z-stack：可根据样品厚度，选择不同聚焦平面进行多层聚焦拍摄，并进行图像整合，聚焦层数2-200层（依样品厚度而定）。</w:t>
      </w:r>
    </w:p>
    <w:p w14:paraId="47D8FEE5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14.11图像采集速度 ：</w:t>
      </w:r>
    </w:p>
    <w:p w14:paraId="6AB76DBB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共聚焦成像 96孔板，4x镜头，激光聚焦，≤9分钟</w:t>
      </w:r>
    </w:p>
    <w:p w14:paraId="19F99745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宽场成像   96孔板，4x镜头，激光聚焦，≤5分钟 ；</w:t>
      </w:r>
    </w:p>
    <w:p w14:paraId="3FEE1413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15软件功能：基于高内涵筛选分析分析，同时兼具仪器控制及图像分析，操作简单易学</w:t>
      </w:r>
    </w:p>
    <w:p w14:paraId="2B8501C2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 xml:space="preserve">15.1 图像捕获:可实现荧光成像自动叠加最多支持6个荧光通道叠加、蒙太奇成像、Z轴叠加成像、连续和不连续动力学成像以及不同孔定点成像。 </w:t>
      </w:r>
    </w:p>
    <w:p w14:paraId="28A135B0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15.2 图像处理：可实现图像背景均化、图像拼接、z-projection功能和去卷积处理。</w:t>
      </w:r>
    </w:p>
    <w:p w14:paraId="4B955BFB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15.3.高级图像分析功能：可完成细胞计数，亚群分析，双选域分析，多参数组合分析，细胞参数测量分析，自动融合度计算，视频录制与合成，支持统计学分析导出直方图及多种曲线拟合分析等。包括进行荧光核转位功能、斑点计数功能。</w:t>
      </w:r>
    </w:p>
    <w:p w14:paraId="3BF68B1E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15.4支持图片批量导出与分析：可高通量批量图片导出，方便数据快速分析</w:t>
      </w:r>
    </w:p>
    <w:p w14:paraId="7C43DD0E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15.5支持视频制作：可实时视频或队列图片合成视频。</w:t>
      </w:r>
    </w:p>
    <w:p w14:paraId="52845626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15.6多种图像输出可选：原始图像16bit TIFF；保存图像 TIF, JPG, BMP, PNG, EMF, GIF视频 MP4, WMV</w:t>
      </w:r>
    </w:p>
    <w:p w14:paraId="734D45F5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hint="eastAsia" w:ascii="Times New Roman" w:hAnsi="Times New Roman" w:eastAsia="华文仿宋" w:cs="Times New Roman"/>
          <w:sz w:val="24"/>
        </w:rPr>
        <w:t>15.7支持3D Viewer用于荧光成像 ，以及自动ROI功能</w:t>
      </w:r>
    </w:p>
    <w:p w14:paraId="6F0B5728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16 全自动活细胞孵育模块，配备机械臂，可以为孔板加盖或去盖，上下移动抓取放置不同高度位置的孔板，并可以将孔板在三种不同的处理设备之间进行传输。兼容6-1536孔板，细胞培养皿、细胞培养瓶等耗材，一次可以处理≥8块细胞培养板；具有温度控制，C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和O</w:t>
      </w:r>
      <w:r>
        <w:rPr>
          <w:rFonts w:ascii="Times New Roman" w:hAnsi="Times New Roman" w:eastAsia="华文仿宋" w:cs="Times New Roman"/>
          <w:sz w:val="24"/>
          <w:vertAlign w:val="subscript"/>
        </w:rPr>
        <w:t>2</w:t>
      </w:r>
      <w:r>
        <w:rPr>
          <w:rFonts w:ascii="Times New Roman" w:hAnsi="Times New Roman" w:eastAsia="华文仿宋" w:cs="Times New Roman"/>
          <w:sz w:val="24"/>
        </w:rPr>
        <w:t>单独控制以及湿度监控。</w:t>
      </w:r>
    </w:p>
    <w:p w14:paraId="211B8E92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17 全自动划痕模块，无需其他工具辅助，自动产生均一的单层细胞损伤窗口，具可拆卸、置换划痕针，划痕操作中间及之后自动完成划痕针的清洗操作；主机内置自动洗针程序，内置清洗试剂槽，可拆卸后进行化学消毒。</w:t>
      </w:r>
    </w:p>
    <w:p w14:paraId="39394664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18 自动化双通道原位加药模块：外挂式设计，含有两个加样泵，即插即用，带试剂回流功能。进样器分液体积1</w:t>
      </w:r>
      <w:r>
        <w:rPr>
          <w:rFonts w:hint="eastAsia" w:ascii="Times New Roman" w:hAnsi="Times New Roman" w:eastAsia="华文仿宋" w:cs="Times New Roman"/>
          <w:sz w:val="24"/>
        </w:rPr>
        <w:t xml:space="preserve"> </w:t>
      </w:r>
      <w:r>
        <w:rPr>
          <w:rFonts w:ascii="Times New Roman" w:hAnsi="Times New Roman" w:eastAsia="华文仿宋" w:cs="Times New Roman"/>
          <w:sz w:val="24"/>
        </w:rPr>
        <w:t>μL连续步进可调，带有呈角度加液头，保护贴壁细胞。</w:t>
      </w:r>
    </w:p>
    <w:p w14:paraId="3284EE5A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bookmarkStart w:id="0" w:name="_GoBack"/>
      <w:bookmarkEnd w:id="0"/>
      <w:r>
        <w:rPr>
          <w:rFonts w:ascii="Times New Roman" w:hAnsi="Times New Roman" w:eastAsia="华文仿宋" w:cs="Times New Roman"/>
          <w:sz w:val="24"/>
        </w:rPr>
        <w:t>19 自动化水镜模块：60×水镜，NA值≥1.20，全自动水路系统。</w:t>
      </w:r>
    </w:p>
    <w:p w14:paraId="104EB98D">
      <w:pPr>
        <w:spacing w:line="360" w:lineRule="auto"/>
        <w:jc w:val="both"/>
        <w:rPr>
          <w:rFonts w:ascii="Times New Roman" w:hAnsi="Times New Roman" w:eastAsia="华文仿宋" w:cs="Times New Roman"/>
          <w:sz w:val="24"/>
        </w:rPr>
      </w:pPr>
      <w:r>
        <w:rPr>
          <w:rFonts w:ascii="Times New Roman" w:hAnsi="Times New Roman" w:eastAsia="华文仿宋" w:cs="Times New Roman"/>
          <w:sz w:val="24"/>
        </w:rPr>
        <w:t>2</w:t>
      </w:r>
      <w:r>
        <w:rPr>
          <w:rFonts w:hint="eastAsia" w:ascii="Times New Roman" w:hAnsi="Times New Roman" w:eastAsia="华文仿宋" w:cs="Times New Roman"/>
          <w:sz w:val="24"/>
        </w:rPr>
        <w:t>0 台式</w:t>
      </w:r>
      <w:r>
        <w:rPr>
          <w:rFonts w:ascii="Times New Roman" w:hAnsi="Times New Roman" w:eastAsia="华文仿宋" w:cs="Times New Roman"/>
          <w:sz w:val="24"/>
        </w:rPr>
        <w:t>电脑</w:t>
      </w:r>
      <w:r>
        <w:rPr>
          <w:rFonts w:hint="eastAsia" w:ascii="Times New Roman" w:hAnsi="Times New Roman" w:eastAsia="华文仿宋" w:cs="Times New Roman"/>
          <w:sz w:val="24"/>
        </w:rPr>
        <w:t>配置</w:t>
      </w:r>
      <w:r>
        <w:rPr>
          <w:rFonts w:ascii="Times New Roman" w:hAnsi="Times New Roman" w:eastAsia="华文仿宋" w:cs="Times New Roman"/>
          <w:sz w:val="24"/>
        </w:rPr>
        <w:t>：</w:t>
      </w:r>
      <w:r>
        <w:rPr>
          <w:rFonts w:hint="eastAsia" w:ascii="Times New Roman" w:hAnsi="Times New Roman" w:eastAsia="华文仿宋" w:cs="Times New Roman"/>
          <w:sz w:val="24"/>
        </w:rPr>
        <w:t>中央处理器：主频不低于</w:t>
      </w:r>
      <w:r>
        <w:rPr>
          <w:rFonts w:ascii="Times New Roman" w:hAnsi="Times New Roman" w:eastAsia="华文仿宋" w:cs="Times New Roman"/>
          <w:sz w:val="24"/>
        </w:rPr>
        <w:t>5.6GHz, 不低于2</w:t>
      </w:r>
      <w:r>
        <w:rPr>
          <w:rFonts w:hint="eastAsia" w:ascii="Times New Roman" w:hAnsi="Times New Roman" w:eastAsia="华文仿宋" w:cs="Times New Roman"/>
          <w:sz w:val="24"/>
        </w:rPr>
        <w:t>4</w:t>
      </w:r>
      <w:r>
        <w:rPr>
          <w:rFonts w:ascii="Times New Roman" w:hAnsi="Times New Roman" w:eastAsia="华文仿宋" w:cs="Times New Roman"/>
          <w:sz w:val="24"/>
        </w:rPr>
        <w:t>核心，</w:t>
      </w:r>
      <w:r>
        <w:rPr>
          <w:rFonts w:hint="eastAsia" w:ascii="Times New Roman" w:hAnsi="Times New Roman" w:eastAsia="华文仿宋" w:cs="Times New Roman"/>
          <w:sz w:val="24"/>
        </w:rPr>
        <w:t>总体AI峰值</w:t>
      </w:r>
      <w:r>
        <w:rPr>
          <w:rFonts w:ascii="Times New Roman" w:hAnsi="Times New Roman" w:eastAsia="华文仿宋" w:cs="Times New Roman"/>
          <w:sz w:val="24"/>
        </w:rPr>
        <w:t xml:space="preserve"> TOPS</w:t>
      </w:r>
      <w:r>
        <w:rPr>
          <w:rFonts w:hint="eastAsia" w:ascii="Times New Roman" w:hAnsi="Times New Roman" w:eastAsia="华文仿宋" w:cs="Times New Roman"/>
          <w:sz w:val="24"/>
        </w:rPr>
        <w:t>不低于36；</w:t>
      </w:r>
      <w:r>
        <w:rPr>
          <w:rFonts w:ascii="Times New Roman" w:hAnsi="Times New Roman" w:eastAsia="华文仿宋" w:cs="Times New Roman"/>
          <w:sz w:val="24"/>
        </w:rPr>
        <w:t>独立显卡</w:t>
      </w:r>
      <w:r>
        <w:rPr>
          <w:rFonts w:hint="eastAsia" w:ascii="Times New Roman" w:hAnsi="Times New Roman" w:eastAsia="华文仿宋" w:cs="Times New Roman"/>
          <w:sz w:val="24"/>
        </w:rPr>
        <w:t>（</w:t>
      </w:r>
      <w:r>
        <w:rPr>
          <w:rFonts w:ascii="Times New Roman" w:hAnsi="Times New Roman" w:eastAsia="华文仿宋" w:cs="Times New Roman"/>
          <w:sz w:val="24"/>
        </w:rPr>
        <w:t>AI TOPS</w:t>
      </w:r>
      <w:r>
        <w:rPr>
          <w:rFonts w:hint="eastAsia" w:ascii="Times New Roman" w:hAnsi="Times New Roman" w:eastAsia="华文仿宋" w:cs="Times New Roman"/>
          <w:sz w:val="24"/>
        </w:rPr>
        <w:t>不低于1800，显存不低于16GB）</w:t>
      </w:r>
      <w:r>
        <w:rPr>
          <w:rFonts w:ascii="Times New Roman" w:hAnsi="Times New Roman" w:eastAsia="华文仿宋" w:cs="Times New Roman"/>
          <w:sz w:val="24"/>
        </w:rPr>
        <w:t>、</w:t>
      </w:r>
      <w:r>
        <w:rPr>
          <w:rFonts w:hint="eastAsia" w:ascii="Times New Roman" w:hAnsi="Times New Roman" w:eastAsia="华文仿宋" w:cs="Times New Roman"/>
          <w:sz w:val="24"/>
        </w:rPr>
        <w:t>内存不低于64G，</w:t>
      </w:r>
      <w:r>
        <w:rPr>
          <w:rFonts w:ascii="Times New Roman" w:hAnsi="Times New Roman" w:eastAsia="华文仿宋" w:cs="Times New Roman"/>
          <w:sz w:val="24"/>
        </w:rPr>
        <w:t>硬盘</w:t>
      </w:r>
      <w:r>
        <w:rPr>
          <w:rFonts w:hint="eastAsia" w:ascii="Times New Roman" w:hAnsi="Times New Roman" w:eastAsia="华文仿宋" w:cs="Times New Roman"/>
          <w:sz w:val="24"/>
        </w:rPr>
        <w:t>容量不低于512GSSD+4T</w:t>
      </w:r>
      <w:r>
        <w:rPr>
          <w:rFonts w:ascii="Times New Roman" w:hAnsi="Times New Roman" w:eastAsia="华文仿宋" w:cs="Times New Roman"/>
          <w:sz w:val="24"/>
        </w:rPr>
        <w:t>、≥2</w:t>
      </w:r>
      <w:r>
        <w:rPr>
          <w:rFonts w:hint="eastAsia" w:ascii="Times New Roman" w:hAnsi="Times New Roman" w:eastAsia="华文仿宋" w:cs="Times New Roman"/>
          <w:sz w:val="24"/>
        </w:rPr>
        <w:t>7</w:t>
      </w:r>
      <w:r>
        <w:rPr>
          <w:rFonts w:ascii="Times New Roman" w:hAnsi="Times New Roman" w:eastAsia="华文仿宋" w:cs="Times New Roman"/>
          <w:sz w:val="24"/>
        </w:rPr>
        <w:t>寸显示器</w:t>
      </w:r>
      <w:r>
        <w:rPr>
          <w:rFonts w:hint="eastAsia" w:ascii="Times New Roman" w:hAnsi="Times New Roman" w:eastAsia="华文仿宋" w:cs="Times New Roman"/>
          <w:sz w:val="24"/>
        </w:rPr>
        <w:t>（分辨率不低于4K）</w:t>
      </w:r>
      <w:r>
        <w:rPr>
          <w:rFonts w:ascii="Times New Roman" w:hAnsi="Times New Roman" w:eastAsia="华文仿宋" w:cs="Times New Roman"/>
          <w:sz w:val="24"/>
        </w:rPr>
        <w:t>、</w:t>
      </w:r>
      <w:r>
        <w:rPr>
          <w:rFonts w:hint="eastAsia" w:ascii="Times New Roman" w:hAnsi="Times New Roman" w:eastAsia="华文仿宋" w:cs="Times New Roman"/>
          <w:sz w:val="24"/>
        </w:rPr>
        <w:t>刻录</w:t>
      </w:r>
      <w:r>
        <w:rPr>
          <w:rFonts w:ascii="Times New Roman" w:hAnsi="Times New Roman" w:eastAsia="华文仿宋" w:cs="Times New Roman"/>
          <w:sz w:val="24"/>
        </w:rPr>
        <w:t>光驱。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CA"/>
    <w:rsid w:val="00022508"/>
    <w:rsid w:val="000730D9"/>
    <w:rsid w:val="00110EF7"/>
    <w:rsid w:val="001F1C38"/>
    <w:rsid w:val="00245B48"/>
    <w:rsid w:val="00261FF0"/>
    <w:rsid w:val="00295C92"/>
    <w:rsid w:val="00344859"/>
    <w:rsid w:val="00380DC9"/>
    <w:rsid w:val="00405DE7"/>
    <w:rsid w:val="00463D6E"/>
    <w:rsid w:val="0049530C"/>
    <w:rsid w:val="005E691A"/>
    <w:rsid w:val="006C644F"/>
    <w:rsid w:val="00747CC1"/>
    <w:rsid w:val="00752FAA"/>
    <w:rsid w:val="00795852"/>
    <w:rsid w:val="007B18FA"/>
    <w:rsid w:val="00841B2D"/>
    <w:rsid w:val="009145EF"/>
    <w:rsid w:val="0097468B"/>
    <w:rsid w:val="00994A0E"/>
    <w:rsid w:val="009D3F09"/>
    <w:rsid w:val="00A323A3"/>
    <w:rsid w:val="00A36DE9"/>
    <w:rsid w:val="00A77895"/>
    <w:rsid w:val="00AD0BEC"/>
    <w:rsid w:val="00B5080C"/>
    <w:rsid w:val="00B73BD7"/>
    <w:rsid w:val="00B92BCA"/>
    <w:rsid w:val="00BD0C4E"/>
    <w:rsid w:val="00BE6E67"/>
    <w:rsid w:val="00C27D50"/>
    <w:rsid w:val="00C55390"/>
    <w:rsid w:val="00C71A70"/>
    <w:rsid w:val="00C91B66"/>
    <w:rsid w:val="00CF6ACA"/>
    <w:rsid w:val="00D324D5"/>
    <w:rsid w:val="00E06B21"/>
    <w:rsid w:val="00E60263"/>
    <w:rsid w:val="00F95CA4"/>
    <w:rsid w:val="00FE115B"/>
    <w:rsid w:val="00FE414E"/>
    <w:rsid w:val="060A4F74"/>
    <w:rsid w:val="71DA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unhideWhenUsed/>
    <w:qFormat/>
    <w:uiPriority w:val="99"/>
  </w:style>
  <w:style w:type="paragraph" w:styleId="12">
    <w:name w:val="Balloon Text"/>
    <w:basedOn w:val="1"/>
    <w:link w:val="43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39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2"/>
    <w:semiHidden/>
    <w:unhideWhenUsed/>
    <w:uiPriority w:val="99"/>
    <w:rPr>
      <w:b/>
      <w:bCs/>
    </w:rPr>
  </w:style>
  <w:style w:type="character" w:styleId="20">
    <w:name w:val="annotation reference"/>
    <w:basedOn w:val="19"/>
    <w:semiHidden/>
    <w:unhideWhenUsed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1">
    <w:name w:val="批注文字 字符"/>
    <w:basedOn w:val="19"/>
    <w:link w:val="11"/>
    <w:uiPriority w:val="99"/>
  </w:style>
  <w:style w:type="character" w:customStyle="1" w:styleId="42">
    <w:name w:val="批注主题 字符"/>
    <w:basedOn w:val="41"/>
    <w:link w:val="17"/>
    <w:semiHidden/>
    <w:qFormat/>
    <w:uiPriority w:val="99"/>
    <w:rPr>
      <w:b/>
      <w:bCs/>
    </w:rPr>
  </w:style>
  <w:style w:type="character" w:customStyle="1" w:styleId="43">
    <w:name w:val="批注框文本 字符"/>
    <w:basedOn w:val="19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2180</Words>
  <Characters>2779</Characters>
  <Lines>20</Lines>
  <Paragraphs>5</Paragraphs>
  <TotalTime>16</TotalTime>
  <ScaleCrop>false</ScaleCrop>
  <LinksUpToDate>false</LinksUpToDate>
  <CharactersWithSpaces>2881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2025-11-09T05:18:00Z</dcterms:created>
  <dc:creator>zdl-yaoshengwei@foxmail.com</dc:creator>
  <cp:lastModifiedBy>段池</cp:lastModifiedBy>
  <dcterms:modified xsi:type="dcterms:W3CDTF">2025-11-10T07:24:40Z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EAF48FA77C6E4135B3A9286C4C504DE1_12</vt:lpwstr>
  </property>
</Properties>
</file>