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F1711">
      <w:pPr>
        <w:pStyle w:val="2"/>
        <w:keepNext/>
        <w:keepLines/>
        <w:pageBreakBefore w:val="0"/>
        <w:widowControl w:val="0"/>
        <w:kinsoku/>
        <w:wordWrap/>
        <w:overflowPunct/>
        <w:topLinePunct w:val="0"/>
        <w:autoSpaceDE/>
        <w:autoSpaceDN/>
        <w:bidi w:val="0"/>
        <w:adjustRightInd/>
        <w:snapToGrid/>
        <w:spacing w:before="100" w:after="90"/>
        <w:jc w:val="center"/>
        <w:textAlignment w:val="auto"/>
      </w:pPr>
      <w:r>
        <w:rPr>
          <w:rFonts w:hint="eastAsia" w:cstheme="minorBidi"/>
          <w:bCs/>
          <w:kern w:val="2"/>
          <w:sz w:val="28"/>
          <w:szCs w:val="28"/>
          <w:lang w:val="en-US" w:eastAsia="zh-CN" w:bidi="ar-SA"/>
        </w:rPr>
        <w:t>技术参数</w:t>
      </w:r>
    </w:p>
    <w:tbl>
      <w:tblPr>
        <w:tblStyle w:val="8"/>
        <w:tblW w:w="45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8"/>
        <w:gridCol w:w="719"/>
        <w:gridCol w:w="6525"/>
      </w:tblGrid>
      <w:tr w14:paraId="5E2C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85" w:type="pct"/>
            <w:vAlign w:val="center"/>
          </w:tcPr>
          <w:p w14:paraId="56D987B8">
            <w:pPr>
              <w:widowControl/>
              <w:spacing w:line="340" w:lineRule="exact"/>
              <w:jc w:val="center"/>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序号</w:t>
            </w:r>
          </w:p>
        </w:tc>
        <w:tc>
          <w:tcPr>
            <w:tcW w:w="468" w:type="pct"/>
            <w:vAlign w:val="center"/>
          </w:tcPr>
          <w:p w14:paraId="1B8ABECE">
            <w:pPr>
              <w:widowControl/>
              <w:spacing w:line="340" w:lineRule="exact"/>
              <w:jc w:val="center"/>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rPr>
              <w:t>货物名称</w:t>
            </w:r>
          </w:p>
        </w:tc>
        <w:tc>
          <w:tcPr>
            <w:tcW w:w="4246" w:type="pct"/>
            <w:vAlign w:val="center"/>
          </w:tcPr>
          <w:p w14:paraId="476CDEBF">
            <w:pPr>
              <w:widowControl/>
              <w:numPr>
                <w:ilvl w:val="0"/>
                <w:numId w:val="0"/>
              </w:numPr>
              <w:spacing w:line="340" w:lineRule="exact"/>
              <w:jc w:val="center"/>
              <w:rPr>
                <w:rFonts w:hint="default" w:ascii="宋体" w:hAnsi="宋体" w:eastAsia="宋体" w:cs="Times New Roman"/>
                <w:bCs w:val="0"/>
                <w:kern w:val="0"/>
                <w:sz w:val="18"/>
                <w:szCs w:val="18"/>
                <w:lang w:val="en-US" w:eastAsia="zh-CN"/>
              </w:rPr>
            </w:pPr>
            <w:r>
              <w:rPr>
                <w:rFonts w:hint="eastAsia" w:ascii="宋体" w:hAnsi="宋体" w:eastAsia="宋体" w:cs="宋体"/>
                <w:sz w:val="18"/>
                <w:szCs w:val="18"/>
              </w:rPr>
              <w:t>功能指标</w:t>
            </w:r>
          </w:p>
        </w:tc>
      </w:tr>
      <w:tr w14:paraId="16B8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285" w:type="pct"/>
            <w:vAlign w:val="center"/>
          </w:tcPr>
          <w:p w14:paraId="0D8057E6">
            <w:pPr>
              <w:widowControl/>
              <w:spacing w:line="340" w:lineRule="exact"/>
              <w:jc w:val="center"/>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w:t>
            </w:r>
          </w:p>
        </w:tc>
        <w:tc>
          <w:tcPr>
            <w:tcW w:w="468" w:type="pct"/>
            <w:vAlign w:val="center"/>
          </w:tcPr>
          <w:p w14:paraId="3EE32CEB">
            <w:pPr>
              <w:widowControl/>
              <w:spacing w:line="340" w:lineRule="exact"/>
              <w:jc w:val="center"/>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便携式脑电采集设备</w:t>
            </w:r>
          </w:p>
        </w:tc>
        <w:tc>
          <w:tcPr>
            <w:tcW w:w="4246" w:type="pct"/>
            <w:vAlign w:val="center"/>
          </w:tcPr>
          <w:p w14:paraId="6D40287B">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一、放大器</w:t>
            </w:r>
          </w:p>
          <w:p w14:paraId="16E4FA45">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auto"/>
                <w:kern w:val="0"/>
                <w:sz w:val="18"/>
                <w:szCs w:val="18"/>
                <w:lang w:val="en-US" w:eastAsia="zh-CN"/>
              </w:rPr>
              <w:t>1.1 支持同步64导EEG通道，64导脑电放大器包含记录软件≥1套；</w:t>
            </w:r>
          </w:p>
          <w:p w14:paraId="4F2F3FC8">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FF0000"/>
                <w:kern w:val="0"/>
                <w:sz w:val="18"/>
                <w:szCs w:val="18"/>
                <w:lang w:val="en-US" w:eastAsia="zh-CN"/>
              </w:rPr>
              <w:t>1.2</w:t>
            </w:r>
            <w:r>
              <w:rPr>
                <w:rFonts w:hint="eastAsia" w:ascii="宋体" w:hAnsi="宋体" w:eastAsia="宋体" w:cs="Times New Roman"/>
                <w:bCs w:val="0"/>
                <w:color w:val="auto"/>
                <w:kern w:val="0"/>
                <w:sz w:val="18"/>
                <w:szCs w:val="18"/>
                <w:lang w:val="en-US" w:eastAsia="zh-CN"/>
              </w:rPr>
              <w:t>采样速率：≥16000Hz/通道（所有通道同时采集时）；</w:t>
            </w:r>
          </w:p>
          <w:p w14:paraId="41AA0574">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auto"/>
                <w:kern w:val="0"/>
                <w:sz w:val="18"/>
                <w:szCs w:val="18"/>
                <w:lang w:val="en-US" w:eastAsia="zh-CN"/>
              </w:rPr>
              <w:t>1.3 共模抑制比：≥100dB；</w:t>
            </w:r>
          </w:p>
          <w:p w14:paraId="7DBAAB66">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auto"/>
                <w:kern w:val="0"/>
                <w:sz w:val="18"/>
                <w:szCs w:val="18"/>
                <w:lang w:val="en-US" w:eastAsia="zh-CN"/>
              </w:rPr>
              <w:t>1.4 测量范围：±3000 mV；</w:t>
            </w:r>
          </w:p>
          <w:p w14:paraId="38752EA1">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1.5 放大器噪声：≤2μVpp；</w:t>
            </w:r>
          </w:p>
          <w:p w14:paraId="1E31C506">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1.6 差分输入阻抗：≥400 Mohm；</w:t>
            </w:r>
          </w:p>
          <w:p w14:paraId="4C683EFA">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1.7 ADC数模转化器：≥24bit；</w:t>
            </w:r>
          </w:p>
          <w:p w14:paraId="5B23D56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1.8系统支持8位TTLTrigger 输入，直接支持采集事件相关电位；</w:t>
            </w:r>
          </w:p>
          <w:p w14:paraId="7311B789">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1.9采用无线传输技术，支持在非屏蔽室环境下准确记录脑电信号，室内:≥10米，户外:≥30米；</w:t>
            </w:r>
          </w:p>
          <w:p w14:paraId="5F795408">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1.10 内置可充电电池供电，可满足12小时不间断记录；</w:t>
            </w:r>
          </w:p>
          <w:p w14:paraId="278F4EC9">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FF0000"/>
                <w:kern w:val="0"/>
                <w:sz w:val="18"/>
                <w:szCs w:val="18"/>
                <w:lang w:val="en-US" w:eastAsia="zh-CN"/>
              </w:rPr>
              <w:t>1.11</w:t>
            </w:r>
            <w:r>
              <w:rPr>
                <w:rFonts w:hint="eastAsia" w:ascii="宋体" w:hAnsi="宋体" w:eastAsia="宋体" w:cs="Times New Roman"/>
                <w:bCs w:val="0"/>
                <w:color w:val="auto"/>
                <w:kern w:val="0"/>
                <w:sz w:val="18"/>
                <w:szCs w:val="18"/>
                <w:lang w:val="en-US" w:eastAsia="zh-CN"/>
              </w:rPr>
              <w:t xml:space="preserve"> 无线轻便设计，主机和电池重量不能超过800g，提供一套128导面板放大器，提供含网站链接的官网截图；</w:t>
            </w:r>
          </w:p>
          <w:p w14:paraId="42C48EDC">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1.12 主机led具有电池状态指示灯和无线状态指示灯；</w:t>
            </w:r>
          </w:p>
          <w:p w14:paraId="5AEB9197">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FF0000"/>
                <w:kern w:val="0"/>
                <w:sz w:val="18"/>
                <w:szCs w:val="18"/>
                <w:lang w:val="en-US" w:eastAsia="zh-CN"/>
              </w:rPr>
              <w:t>1.13</w:t>
            </w:r>
            <w:r>
              <w:rPr>
                <w:rFonts w:hint="eastAsia" w:ascii="宋体" w:hAnsi="宋体" w:eastAsia="宋体" w:cs="Times New Roman"/>
                <w:bCs w:val="0"/>
                <w:color w:val="auto"/>
                <w:kern w:val="0"/>
                <w:sz w:val="18"/>
                <w:szCs w:val="18"/>
                <w:lang w:val="en-US" w:eastAsia="zh-CN"/>
              </w:rPr>
              <w:t>放大器必须同时兼容盐水电极系统、主被动电极系统、干电极系统；</w:t>
            </w:r>
          </w:p>
          <w:p w14:paraId="2402728C">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二、电极帽系统</w:t>
            </w:r>
          </w:p>
          <w:p w14:paraId="5812192C">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2.1采用高品质Ag/Agcl电极，电极安放位置采用国际标准10-20系统，</w:t>
            </w:r>
            <w:r>
              <w:rPr>
                <w:rFonts w:hint="default" w:ascii="宋体" w:hAnsi="宋体" w:eastAsia="宋体" w:cs="Times New Roman"/>
                <w:bCs w:val="0"/>
                <w:kern w:val="0"/>
                <w:sz w:val="18"/>
                <w:szCs w:val="18"/>
                <w:lang w:val="en-US" w:eastAsia="zh-CN"/>
              </w:rPr>
              <w:t>64通道电极</w:t>
            </w:r>
            <w:r>
              <w:rPr>
                <w:rFonts w:hint="eastAsia" w:ascii="宋体" w:hAnsi="宋体" w:eastAsia="宋体" w:cs="Times New Roman"/>
                <w:bCs w:val="0"/>
                <w:kern w:val="0"/>
                <w:sz w:val="18"/>
                <w:szCs w:val="18"/>
                <w:lang w:val="en-US" w:eastAsia="zh-CN"/>
              </w:rPr>
              <w:t>≥</w:t>
            </w:r>
            <w:r>
              <w:rPr>
                <w:rFonts w:hint="default" w:ascii="宋体" w:hAnsi="宋体" w:eastAsia="宋体" w:cs="Times New Roman"/>
                <w:bCs w:val="0"/>
                <w:kern w:val="0"/>
                <w:sz w:val="18"/>
                <w:szCs w:val="18"/>
                <w:lang w:val="en-US" w:eastAsia="zh-CN"/>
              </w:rPr>
              <w:t>1套</w:t>
            </w:r>
            <w:r>
              <w:rPr>
                <w:rFonts w:hint="eastAsia" w:ascii="宋体" w:hAnsi="宋体" w:eastAsia="宋体" w:cs="Times New Roman"/>
                <w:bCs w:val="0"/>
                <w:kern w:val="0"/>
                <w:sz w:val="18"/>
                <w:szCs w:val="18"/>
                <w:lang w:val="en-US" w:eastAsia="zh-CN"/>
              </w:rPr>
              <w:t>；</w:t>
            </w:r>
          </w:p>
          <w:p w14:paraId="0FB04D9F">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2.2电极系统通通过电磁兼容性认证并提供证明资料；</w:t>
            </w:r>
          </w:p>
          <w:p w14:paraId="27ADA78D">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2.3工作频率: DC≥5000 Hz；</w:t>
            </w:r>
          </w:p>
          <w:p w14:paraId="3B09549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2.4输入阻抗：≥200kΩ；</w:t>
            </w:r>
          </w:p>
          <w:p w14:paraId="574E5343">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2.5外壳从侧面覆盖电极，保证电极的坚固性；</w:t>
            </w:r>
          </w:p>
          <w:p w14:paraId="49A3680D">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auto"/>
                <w:kern w:val="0"/>
                <w:sz w:val="18"/>
                <w:szCs w:val="18"/>
                <w:lang w:val="en-US" w:eastAsia="zh-CN"/>
              </w:rPr>
              <w:t>2.6电极尺寸：高度≤18mm，宽度≤15mm；</w:t>
            </w:r>
          </w:p>
          <w:p w14:paraId="58381179">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2.7噪声：≤2μVpp（0.1-35Hz频段）；</w:t>
            </w:r>
          </w:p>
          <w:p w14:paraId="71B5F254">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2.8动态范围：±1000毫伏；</w:t>
            </w:r>
          </w:p>
          <w:p w14:paraId="65807B82">
            <w:pPr>
              <w:widowControl/>
              <w:spacing w:line="340" w:lineRule="exact"/>
              <w:jc w:val="left"/>
              <w:rPr>
                <w:rFonts w:hint="eastAsia" w:ascii="宋体" w:hAnsi="宋体" w:eastAsia="宋体" w:cs="Times New Roman"/>
                <w:bCs w:val="0"/>
                <w:color w:val="auto"/>
                <w:kern w:val="0"/>
                <w:sz w:val="18"/>
                <w:szCs w:val="18"/>
                <w:lang w:val="en-US" w:eastAsia="zh-CN"/>
              </w:rPr>
            </w:pPr>
            <w:r>
              <w:rPr>
                <w:rFonts w:hint="eastAsia" w:ascii="宋体" w:hAnsi="宋体" w:eastAsia="宋体" w:cs="Times New Roman"/>
                <w:bCs w:val="0"/>
                <w:color w:val="FF0000"/>
                <w:kern w:val="0"/>
                <w:sz w:val="18"/>
                <w:szCs w:val="18"/>
                <w:lang w:val="en-US" w:eastAsia="zh-CN"/>
              </w:rPr>
              <w:t>2.9</w:t>
            </w:r>
            <w:r>
              <w:rPr>
                <w:rFonts w:hint="eastAsia" w:ascii="宋体" w:hAnsi="宋体" w:eastAsia="宋体" w:cs="Times New Roman"/>
                <w:bCs w:val="0"/>
                <w:color w:val="auto"/>
                <w:kern w:val="0"/>
                <w:sz w:val="18"/>
                <w:szCs w:val="18"/>
                <w:lang w:val="en-US" w:eastAsia="zh-CN"/>
              </w:rPr>
              <w:t>采用主动或被动电极技术，使用者通过电极灯光颜色或电脑显示阻抗颜色显示可实时监控到到电极与头皮的接触情况；</w:t>
            </w:r>
          </w:p>
          <w:p w14:paraId="4BD5C6DF">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2.11</w:t>
            </w:r>
            <w:r>
              <w:rPr>
                <w:rFonts w:hint="eastAsia" w:ascii="宋体" w:hAnsi="宋体" w:eastAsia="宋体" w:cs="Times New Roman"/>
                <w:bCs w:val="0"/>
                <w:kern w:val="0"/>
                <w:sz w:val="18"/>
                <w:szCs w:val="18"/>
                <w:lang w:val="en-US" w:eastAsia="zh-CN"/>
              </w:rPr>
              <w:t>电极采用模块化设计，单根电极可拆卸；</w:t>
            </w:r>
          </w:p>
          <w:p w14:paraId="5F762397">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2.12</w:t>
            </w:r>
            <w:r>
              <w:rPr>
                <w:rFonts w:hint="eastAsia" w:ascii="宋体" w:hAnsi="宋体" w:eastAsia="宋体" w:cs="Times New Roman"/>
                <w:bCs w:val="0"/>
                <w:kern w:val="0"/>
                <w:sz w:val="18"/>
                <w:szCs w:val="18"/>
                <w:lang w:val="en-US" w:eastAsia="zh-CN"/>
              </w:rPr>
              <w:t>电极系统直接支持与TMS、fNIRS设备同步采集,无需更换电极系统，能提供官方网站说明或提供实例图；</w:t>
            </w:r>
          </w:p>
          <w:p w14:paraId="5652DCF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2.13可将单个电极用于头皮之外的EOG或EMG信号记录；</w:t>
            </w:r>
          </w:p>
          <w:p w14:paraId="648A2112">
            <w:pPr>
              <w:widowControl/>
              <w:spacing w:line="340" w:lineRule="exact"/>
              <w:jc w:val="left"/>
              <w:rPr>
                <w:rFonts w:hint="default" w:ascii="宋体" w:hAnsi="宋体" w:eastAsia="宋体" w:cs="Times New Roman"/>
                <w:bCs w:val="0"/>
                <w:color w:val="auto"/>
                <w:kern w:val="0"/>
                <w:sz w:val="18"/>
                <w:szCs w:val="18"/>
                <w:lang w:val="en-US" w:eastAsia="zh-CN"/>
              </w:rPr>
            </w:pPr>
            <w:r>
              <w:rPr>
                <w:rFonts w:hint="eastAsia" w:ascii="宋体" w:hAnsi="宋体" w:eastAsia="宋体" w:cs="Times New Roman"/>
                <w:bCs w:val="0"/>
                <w:color w:val="auto"/>
                <w:kern w:val="0"/>
                <w:sz w:val="18"/>
                <w:szCs w:val="18"/>
                <w:lang w:val="en-US" w:eastAsia="zh-CN"/>
              </w:rPr>
              <w:t>2.14 电极帽（电极≥64通道）≥2套，64通道盐水电极帽（含电极）≥1套；</w:t>
            </w:r>
          </w:p>
          <w:p w14:paraId="6968C547">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2.15 配套提供导电膏≥2桶，磨砂膏≥2支，黑色便携箱≥1个以及放大器启动套件（含注射针、测量卷尺、平头针等）≥1套，其规格应足以满足整套设备的正常使用要求；</w:t>
            </w:r>
          </w:p>
          <w:p w14:paraId="78569363">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三、刺激与采集软件</w:t>
            </w:r>
          </w:p>
          <w:p w14:paraId="4760124A">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 刺激软件可自由编程，可实现声音、文字、文本、图片等不同类型的实验程序；</w:t>
            </w:r>
          </w:p>
          <w:p w14:paraId="16AD6116">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3.2 刺激软件报告计时精度可达毫秒级精度；</w:t>
            </w:r>
          </w:p>
          <w:p w14:paraId="2807F799">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3.3 刺激软件可选配脑电、眼动仪的专用扩展插件；</w:t>
            </w:r>
          </w:p>
          <w:p w14:paraId="78EA5ABB">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3.4独立的数据采集软件，保证数据采集时可以同时分析其它数据，软件采用加密狗形式进行认证；</w:t>
            </w:r>
          </w:p>
          <w:p w14:paraId="1A4E4E80">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3.5采集软件可根据向导菜单结构完成整个硬件设置和硬件/软件滤波配置，也可单独对每个通道设置硬件滤波设备；</w:t>
            </w:r>
          </w:p>
          <w:p w14:paraId="351E847F">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3.6采集软件多种数据输入参数可选：导联数量、电极名称、滤波、基线校准及采样率等；</w:t>
            </w:r>
          </w:p>
          <w:p w14:paraId="2F726043">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3.7采集软件实时显示连续的或按照触发器时间标记的EEG波形；</w:t>
            </w:r>
          </w:p>
          <w:p w14:paraId="1C42B154">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3.8采集软件可自动标注文件名；</w:t>
            </w:r>
          </w:p>
          <w:p w14:paraId="2CA1D634">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3.9采集软件支持记录生理传感器的信号；</w:t>
            </w:r>
          </w:p>
          <w:p w14:paraId="096FDBBD">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3.10采集软件支持EEG-MRI 同步记录，可接收磁共振扫描仪时钟发出的trigger信号；</w:t>
            </w:r>
          </w:p>
          <w:p w14:paraId="6B7A6D9D">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3.11采集软件可以通过 TCP/IP 协议发送数据到网络，使用远程数据访问模块到软件进行实时数据分析；</w:t>
            </w:r>
          </w:p>
          <w:p w14:paraId="185BED20">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3.12采集软件可配套提供RDA开发包，支持matlab、python、c、c++环境下的开发工具；</w:t>
            </w:r>
          </w:p>
          <w:p w14:paraId="558F5BE2">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3.13可自动对通道进行阻抗测试，采用鲜明的颜色区分阻抗的好与坏；</w:t>
            </w:r>
          </w:p>
          <w:p w14:paraId="5E5C280B">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3.14 采集软件自带在线分析功能，可实时观测实验数据，可以直接在软件中实时执行完整的诱发电位分析，并且可以将分段、平均数据与原始数据一起存储；</w:t>
            </w:r>
          </w:p>
          <w:p w14:paraId="31514FCE">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3.15可保存工作区属性（包括硬件和软件参数）、阻抗值、16位的触发事件，以供分析数据需要；</w:t>
            </w:r>
          </w:p>
          <w:p w14:paraId="7D3BA2C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3.16</w:t>
            </w:r>
            <w:r>
              <w:rPr>
                <w:rFonts w:hint="eastAsia" w:ascii="宋体" w:hAnsi="宋体" w:eastAsia="宋体" w:cs="Times New Roman"/>
                <w:bCs w:val="0"/>
                <w:kern w:val="0"/>
                <w:sz w:val="18"/>
                <w:szCs w:val="18"/>
                <w:lang w:val="en-US" w:eastAsia="zh-CN"/>
              </w:rPr>
              <w:t>提供视频模块，允许捕获与传入 EEG 数据同步的实验对象的图像,可以在分析软件中逐帧查看，同时浏览获取的数据（提供含网站链接的官网截图或彩页资料证明）；</w:t>
            </w:r>
          </w:p>
          <w:p w14:paraId="0F1FD3F4">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四、分析软件：</w:t>
            </w:r>
          </w:p>
          <w:p w14:paraId="23DE978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4.1 采用独立的分析软件，保证采集数据不受影响，软件采用加密狗形式进行认证；</w:t>
            </w:r>
          </w:p>
          <w:p w14:paraId="3C5AD430">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4.2可直接兼容可读取和处理多种格式的脑电数据，如十进制文本、ASCII类型、坐标、触发器等超过50种数据格式 ；</w:t>
            </w:r>
          </w:p>
          <w:p w14:paraId="33DEB287">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4.3多个视图用于快速的数据可视化和比较；</w:t>
            </w:r>
          </w:p>
          <w:p w14:paraId="6DA45771">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4.4具备眼动伪迹函数校正、基线自动校正、ICA/PCA、FFT、小波变换、叠加平均、参考电极更换、滤波、二维脑电地形图、三维脑地形图、电流密度图谱（CSD）制作等功能；</w:t>
            </w:r>
          </w:p>
          <w:p w14:paraId="44638BDF">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4.5软件支持修正核磁干扰、修正TMS干扰（提供产品截图）；</w:t>
            </w:r>
          </w:p>
          <w:p w14:paraId="166ADED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4.6 模块化结构的脑事件相关电位分析软件，可提供时域、频域、时频域的各种数据分析模式；</w:t>
            </w:r>
          </w:p>
          <w:p w14:paraId="4B4D0A7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4.7分析软件直接集成Loreta源定位算法，数据显示可实时与Matlab相互转换,可与源分析软件BESA兼容（提供产品截图）；</w:t>
            </w:r>
          </w:p>
          <w:p w14:paraId="2B58AF85">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color w:val="FF0000"/>
                <w:kern w:val="0"/>
                <w:sz w:val="18"/>
                <w:szCs w:val="18"/>
                <w:lang w:val="en-US" w:eastAsia="zh-CN"/>
              </w:rPr>
              <w:t>4.8</w:t>
            </w:r>
            <w:r>
              <w:rPr>
                <w:rFonts w:hint="eastAsia" w:ascii="宋体" w:hAnsi="宋体" w:eastAsia="宋体" w:cs="Times New Roman"/>
                <w:bCs w:val="0"/>
                <w:kern w:val="0"/>
                <w:sz w:val="18"/>
                <w:szCs w:val="18"/>
                <w:lang w:val="en-US" w:eastAsia="zh-CN"/>
              </w:rPr>
              <w:t>采用“History trees”记录方式，可自动记录数据处理的每个操作，并可基于这些操作生产操作模版，能自动此模版进行数据批处理，树状结构软件界面（树状结构软件界面提供软件截图）；</w:t>
            </w:r>
          </w:p>
          <w:p w14:paraId="6F8FF71E">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4.9 兼容全球多种厂家EEG/ERP数据分析；</w:t>
            </w:r>
          </w:p>
          <w:p w14:paraId="441923B9">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五、便携式数据采集与分析单元</w:t>
            </w:r>
            <w:bookmarkStart w:id="0" w:name="_GoBack"/>
            <w:bookmarkEnd w:id="0"/>
          </w:p>
          <w:p w14:paraId="10137BF4">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5.1 支持数据采集、信号处理及实时分析，内置电池确保可移动使用：</w:t>
            </w:r>
          </w:p>
          <w:p w14:paraId="0722E6C6">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5.2 处理器核心数≥14（Intel Core i7或Ultra 7同级别/AMD同级别）；</w:t>
            </w:r>
          </w:p>
          <w:p w14:paraId="600BE5FD">
            <w:pPr>
              <w:widowControl/>
              <w:spacing w:line="340" w:lineRule="exact"/>
              <w:jc w:val="left"/>
              <w:rPr>
                <w:rFonts w:hint="eastAsia"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 xml:space="preserve">5.3 </w:t>
            </w:r>
            <w:r>
              <w:rPr>
                <w:rFonts w:hint="eastAsia" w:ascii="宋体" w:hAnsi="宋体" w:eastAsia="宋体" w:cs="Times New Roman"/>
                <w:bCs w:val="0"/>
                <w:color w:val="auto"/>
                <w:kern w:val="0"/>
                <w:sz w:val="18"/>
                <w:szCs w:val="18"/>
                <w:lang w:val="en-US" w:eastAsia="zh-CN"/>
              </w:rPr>
              <w:t>独立显卡，显存≥8 GB，显存带宽≥256 GB/s，FP32算力≥10 TFLOPS，CUDA核心数≥3072，核心加速频率≥1890 MHz，显存位宽≥128-bit，显存类型GDDR6或以上；</w:t>
            </w:r>
          </w:p>
          <w:p w14:paraId="55C20577">
            <w:pPr>
              <w:widowControl/>
              <w:numPr>
                <w:ilvl w:val="0"/>
                <w:numId w:val="0"/>
              </w:numPr>
              <w:spacing w:line="340" w:lineRule="exact"/>
              <w:jc w:val="both"/>
              <w:rPr>
                <w:rFonts w:hint="default" w:ascii="宋体" w:hAnsi="宋体" w:eastAsia="宋体" w:cs="Times New Roman"/>
                <w:bCs w:val="0"/>
                <w:kern w:val="0"/>
                <w:sz w:val="18"/>
                <w:szCs w:val="18"/>
                <w:lang w:val="en-US" w:eastAsia="zh-CN"/>
              </w:rPr>
            </w:pPr>
            <w:r>
              <w:rPr>
                <w:rFonts w:hint="eastAsia" w:ascii="宋体" w:hAnsi="宋体" w:eastAsia="宋体" w:cs="Times New Roman"/>
                <w:bCs w:val="0"/>
                <w:kern w:val="0"/>
                <w:sz w:val="18"/>
                <w:szCs w:val="18"/>
                <w:lang w:val="en-US" w:eastAsia="zh-CN"/>
              </w:rPr>
              <w:t>5.4 内存≥32 GB DDR5，固态硬盘≥1 TB NVMe SSD；</w:t>
            </w:r>
          </w:p>
          <w:p w14:paraId="16C31296">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022D5F17">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6FDC2856">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5F834F6F">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3AF34061">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611B835A">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10323D07">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29078727">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39B7FDE8">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395DA6DE">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5D4C4B76">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251219D1">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59FDCC1A">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442AF045">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4874A914">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4CF04198">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7351252E">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743EC528">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665CB4DF">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3C28BCB5">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62FFAAC3">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p w14:paraId="584D399D">
            <w:pPr>
              <w:widowControl/>
              <w:numPr>
                <w:ilvl w:val="0"/>
                <w:numId w:val="0"/>
              </w:numPr>
              <w:spacing w:line="340" w:lineRule="exact"/>
              <w:jc w:val="both"/>
              <w:rPr>
                <w:rFonts w:hint="default" w:ascii="宋体" w:hAnsi="宋体" w:eastAsia="宋体" w:cs="Times New Roman"/>
                <w:bCs w:val="0"/>
                <w:kern w:val="0"/>
                <w:sz w:val="18"/>
                <w:szCs w:val="18"/>
                <w:lang w:val="en-US" w:eastAsia="zh-CN"/>
              </w:rPr>
            </w:pPr>
          </w:p>
        </w:tc>
      </w:tr>
    </w:tbl>
    <w:p w14:paraId="6D4AF52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6A779C"/>
    <w:rsid w:val="044E01E4"/>
    <w:rsid w:val="046A779C"/>
    <w:rsid w:val="30733C4D"/>
    <w:rsid w:val="3D6716F9"/>
    <w:rsid w:val="50710D46"/>
    <w:rsid w:val="598C7295"/>
    <w:rsid w:val="69175627"/>
    <w:rsid w:val="69E93C5A"/>
    <w:rsid w:val="6DBB4A0F"/>
    <w:rsid w:val="74BA66E1"/>
    <w:rsid w:val="74D51AB5"/>
    <w:rsid w:val="78974307"/>
    <w:rsid w:val="796B6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bCs/>
      <w:kern w:val="2"/>
      <w:sz w:val="28"/>
      <w:szCs w:val="28"/>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semiHidden/>
    <w:unhideWhenUsed/>
    <w:qFormat/>
    <w:uiPriority w:val="99"/>
    <w:pPr>
      <w:spacing w:after="120"/>
      <w:ind w:left="420" w:leftChars="200"/>
    </w:pPr>
  </w:style>
  <w:style w:type="paragraph" w:styleId="4">
    <w:name w:val="Body Text First Indent 2"/>
    <w:basedOn w:val="3"/>
    <w:semiHidden/>
    <w:unhideWhenUsed/>
    <w:qFormat/>
    <w:uiPriority w:val="99"/>
    <w:pPr>
      <w:ind w:firstLine="420" w:firstLine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网格型8"/>
    <w:basedOn w:val="5"/>
    <w:autoRedefine/>
    <w:qFormat/>
    <w:uiPriority w:val="59"/>
    <w:pPr>
      <w:widowControl w:val="0"/>
    </w:pPr>
    <w:rPr>
      <w:rFonts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1861</Words>
  <Characters>2239</Characters>
  <Lines>0</Lines>
  <Paragraphs>0</Paragraphs>
  <TotalTime>6</TotalTime>
  <ScaleCrop>false</ScaleCrop>
  <LinksUpToDate>false</LinksUpToDate>
  <CharactersWithSpaces>2285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2026-06-02T15:51:00Z</dcterms:created>
  <dc:creator>刘坤</dc:creator>
  <cp:lastModifiedBy>张帅磊</cp:lastModifiedBy>
  <dcterms:modified xsi:type="dcterms:W3CDTF">2026-08-01T12:33:21Z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F8455B1D16F249CD80271850117C918A_11</vt:lpwstr>
  </property>
  <property fmtid="{D5CDD505-2E9C-101B-9397-08002B2CF9AE}" pid="4" name="KSOTemplateDocerSaveRecord">
    <vt:lpwstr>eyJoZGlkIjoiNjYyYjlhM2M2MGNmMTIyZTcwMjdiYzk2NTYzYTc0NDciLCJ1c2VySWQiOiIxNzg0MDE3NjYyIn0=</vt:lpwstr>
  </property>
</Properties>
</file>