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DB4413"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组合导航系统实验平台</w:t>
      </w:r>
    </w:p>
    <w:p w14:paraId="67827A9D"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技术参数</w:t>
      </w:r>
    </w:p>
    <w:p w14:paraId="01D32221">
      <w:pPr>
        <w:rPr>
          <w:rFonts w:hint="eastAsia" w:ascii="仿宋" w:hAnsi="仿宋" w:eastAsia="仿宋"/>
          <w:b/>
          <w:bCs/>
        </w:rPr>
      </w:pPr>
      <w:r>
        <w:rPr>
          <w:rFonts w:hint="eastAsia" w:ascii="仿宋" w:hAnsi="仿宋" w:eastAsia="仿宋"/>
          <w:b/>
          <w:bCs/>
        </w:rPr>
        <w:t>（一）激光陀螺惯导组合导航模块</w:t>
      </w:r>
    </w:p>
    <w:p w14:paraId="603A6170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color w:val="FF0000"/>
        </w:rPr>
        <w:t>1、</w:t>
      </w:r>
      <w:r>
        <w:rPr>
          <w:rFonts w:hint="eastAsia" w:ascii="仿宋" w:hAnsi="仿宋" w:eastAsia="仿宋"/>
        </w:rPr>
        <w:t>激光惯导类型：90型</w:t>
      </w:r>
    </w:p>
    <w:p w14:paraId="3AB8F2C9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2、卫星信号类型：支持BDS、GPS、GLONASS、Galileo</w:t>
      </w:r>
    </w:p>
    <w:p w14:paraId="6446CE7A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3、组合导航数据更新频率：≥200Hz</w:t>
      </w:r>
    </w:p>
    <w:p w14:paraId="0B6C06C6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4、导航体制：捷联式惯导系统</w:t>
      </w:r>
    </w:p>
    <w:p w14:paraId="4A4C9559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5、准备时间：≤8s（从上电到完成自检）</w:t>
      </w:r>
    </w:p>
    <w:p w14:paraId="770A52BE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6、对准时间：≤5min</w:t>
      </w:r>
    </w:p>
    <w:p w14:paraId="621533F0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7、对准方式：自对准</w:t>
      </w:r>
    </w:p>
    <w:p w14:paraId="62767433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color w:val="FF0000"/>
        </w:rPr>
        <w:t>8、</w:t>
      </w:r>
      <w:r>
        <w:rPr>
          <w:rFonts w:hint="eastAsia" w:ascii="仿宋" w:hAnsi="仿宋" w:eastAsia="仿宋"/>
        </w:rPr>
        <w:t>陀螺仪零偏稳定性： ≤0.003°/h（100s 平均，全温恒温）</w:t>
      </w:r>
    </w:p>
    <w:p w14:paraId="7554A596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color w:val="FF0000"/>
        </w:rPr>
        <w:t>9、</w:t>
      </w:r>
      <w:r>
        <w:rPr>
          <w:rFonts w:hint="eastAsia" w:ascii="仿宋" w:hAnsi="仿宋" w:eastAsia="仿宋"/>
        </w:rPr>
        <w:t>陀螺仪零偏重复性： ≤0.002°/h（100s 平均，全温恒温）</w:t>
      </w:r>
    </w:p>
    <w:p w14:paraId="4B615C42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10、标度因数重复性：≤2ppm（1σ）</w:t>
      </w:r>
    </w:p>
    <w:p w14:paraId="711D380D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11、标度因数非线性：≤2ppm（1σ）</w:t>
      </w:r>
    </w:p>
    <w:p w14:paraId="08FC3008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12、随机游走：≤0.0005°/√h（1σ）</w:t>
      </w:r>
    </w:p>
    <w:p w14:paraId="4DCB4632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color w:val="FF0000"/>
        </w:rPr>
        <w:t>13、</w:t>
      </w:r>
      <w:r>
        <w:rPr>
          <w:rFonts w:hint="eastAsia" w:ascii="仿宋" w:hAnsi="仿宋" w:eastAsia="仿宋"/>
        </w:rPr>
        <w:t>量程：±400°/s</w:t>
      </w:r>
    </w:p>
    <w:p w14:paraId="0A50DB36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14、加速度计零偏稳定性：≤10ug（1σ）</w:t>
      </w:r>
    </w:p>
    <w:p w14:paraId="5AF6616F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15、加速度计零偏重复性：≤10ug（1σ）</w:t>
      </w:r>
    </w:p>
    <w:p w14:paraId="3904CFB8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16、加速度计标度因素重复性：≤15ppm（1σ）</w:t>
      </w:r>
    </w:p>
    <w:p w14:paraId="08A18B02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17、加速度计标度因数温度系数：≤±10ppm/℃；量程：-30g~+30g</w:t>
      </w:r>
    </w:p>
    <w:p w14:paraId="385E71F1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18、姿态精度（精度、纯惯性）：航向：≤0.012°secL（1σ，1h）；</w:t>
      </w:r>
    </w:p>
    <w:p w14:paraId="1A45F675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19、俯仰/横滚：≤0.015°（1σ，1h）</w:t>
      </w:r>
    </w:p>
    <w:p w14:paraId="090C9A0F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20、速度精度：≤0.4m/s（1σ，1h）</w:t>
      </w:r>
    </w:p>
    <w:p w14:paraId="437EE3BA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21、纯惯性自主导航精度：位置误差：≤0.3 海里/小时(CEP50)</w:t>
      </w:r>
    </w:p>
    <w:p w14:paraId="289C72B5">
      <w:pPr>
        <w:rPr>
          <w:rFonts w:hint="eastAsia" w:ascii="仿宋" w:hAnsi="仿宋" w:eastAsia="仿宋"/>
          <w:b/>
          <w:bCs/>
        </w:rPr>
      </w:pPr>
      <w:r>
        <w:rPr>
          <w:rFonts w:hint="eastAsia" w:ascii="仿宋" w:hAnsi="仿宋" w:eastAsia="仿宋"/>
          <w:b/>
          <w:bCs/>
        </w:rPr>
        <w:t>（二）导航小车</w:t>
      </w:r>
    </w:p>
    <w:p w14:paraId="4D242072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1、预装自动驾驶开源软件</w:t>
      </w:r>
    </w:p>
    <w:p w14:paraId="7DFD9BB0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2、最高速度：20km/h</w:t>
      </w:r>
    </w:p>
    <w:p w14:paraId="054AACD2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3、续航：≥30km，续航≥4h，最大爬坡度≥30%</w:t>
      </w:r>
    </w:p>
    <w:p w14:paraId="1CD4ADC3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4、防护等级≥IP64</w:t>
      </w:r>
    </w:p>
    <w:p w14:paraId="261AD188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5、纯电开源线控底盘</w:t>
      </w:r>
    </w:p>
    <w:p w14:paraId="6DE51104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6、激光雷达：不低于16线120m</w:t>
      </w:r>
    </w:p>
    <w:p w14:paraId="07CAB2A7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7、超声波雷达数量：≥6颗</w:t>
      </w:r>
    </w:p>
    <w:p w14:paraId="06346F3D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8、工业面阵相机：≥4颗</w:t>
      </w:r>
    </w:p>
    <w:p w14:paraId="249C1DFA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9、战术级INS/GNSS组合导航：具备接入GNSS、IMU、激光雷达、相机、轮速计等传感器数据</w:t>
      </w:r>
    </w:p>
    <w:p w14:paraId="1436B6BF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10、战术级INS/GNSS组合导航重量：≤310g</w:t>
      </w:r>
    </w:p>
    <w:p w14:paraId="120D7656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11、陀螺仪零偏稳定性：≤2°</w:t>
      </w:r>
    </w:p>
    <w:p w14:paraId="29817685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12、加速度计零偏稳定性：≤50°</w:t>
      </w:r>
    </w:p>
    <w:p w14:paraId="66AC8569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13、横滚/俯仰(1σ)：≤0.1°</w:t>
      </w:r>
    </w:p>
    <w:p w14:paraId="0386F6B9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color w:val="FF0000"/>
        </w:rPr>
        <w:t>14、</w:t>
      </w:r>
      <w:r>
        <w:rPr>
          <w:rFonts w:hint="eastAsia" w:ascii="仿宋" w:hAnsi="仿宋" w:eastAsia="仿宋"/>
        </w:rPr>
        <w:t>GNSS失锁精度(车载CEP)：位置漂移(1Km，含里程计组合)≤0.2%；航向漂移(1min)≤0.15°</w:t>
      </w:r>
    </w:p>
    <w:p w14:paraId="6BB3C80F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15、接口类型：RS422*1(数据口)；RS232*1(差分口)；CAN*2</w:t>
      </w:r>
    </w:p>
    <w:p w14:paraId="6B0ED1C5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16、控机数量：1套</w:t>
      </w:r>
    </w:p>
    <w:p w14:paraId="3292692E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17、工业遥控器：1套</w:t>
      </w:r>
    </w:p>
    <w:p w14:paraId="35D9D1DE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color w:val="FF0000"/>
        </w:rPr>
        <w:t>18、</w:t>
      </w:r>
      <w:r>
        <w:rPr>
          <w:rFonts w:hint="eastAsia" w:ascii="仿宋" w:hAnsi="仿宋" w:eastAsia="仿宋"/>
        </w:rPr>
        <w:t xml:space="preserve">支持RTK+SLAM / 支持PPK+SLAM </w:t>
      </w:r>
    </w:p>
    <w:p w14:paraId="0055086B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color w:val="FF0000"/>
        </w:rPr>
        <w:t>19、</w:t>
      </w:r>
      <w:r>
        <w:rPr>
          <w:rFonts w:hint="eastAsia" w:ascii="仿宋" w:hAnsi="仿宋" w:eastAsia="仿宋"/>
        </w:rPr>
        <w:t>组合后支持双时间系统进行时钟同步</w:t>
      </w:r>
    </w:p>
    <w:p w14:paraId="6BC9CCC5">
      <w:pPr>
        <w:rPr>
          <w:rFonts w:hint="eastAsia" w:ascii="仿宋" w:hAnsi="仿宋" w:eastAsia="仿宋"/>
          <w:b/>
          <w:bCs/>
        </w:rPr>
      </w:pPr>
      <w:r>
        <w:rPr>
          <w:rFonts w:hint="eastAsia" w:ascii="仿宋" w:hAnsi="仿宋" w:eastAsia="仿宋"/>
          <w:b/>
          <w:bCs/>
        </w:rPr>
        <w:t>（三）定位测姿系统POS解算软件</w:t>
      </w:r>
    </w:p>
    <w:p w14:paraId="5930B162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color w:val="FF0000"/>
        </w:rPr>
        <w:t>1、</w:t>
      </w:r>
      <w:r>
        <w:rPr>
          <w:rFonts w:hint="eastAsia" w:ascii="仿宋" w:hAnsi="仿宋" w:eastAsia="仿宋"/>
        </w:rPr>
        <w:t>定位测姿系统需独立运行；</w:t>
      </w:r>
    </w:p>
    <w:p w14:paraId="3C11E581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color w:val="FF0000"/>
        </w:rPr>
        <w:t>2、</w:t>
      </w:r>
      <w:r>
        <w:rPr>
          <w:rFonts w:hint="eastAsia" w:ascii="仿宋" w:hAnsi="仿宋" w:eastAsia="仿宋"/>
        </w:rPr>
        <w:t>定位测姿系统须100%国产化；</w:t>
      </w:r>
    </w:p>
    <w:p w14:paraId="159E531E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color w:val="FF0000"/>
        </w:rPr>
        <w:t>3、</w:t>
      </w:r>
      <w:r>
        <w:rPr>
          <w:rFonts w:hint="eastAsia" w:ascii="仿宋" w:hAnsi="仿宋" w:eastAsia="仿宋"/>
        </w:rPr>
        <w:t xml:space="preserve">定位测姿系统可支持独立运行计算GNSS差分定位结果和GNSS/INS/WS组合输出POS结果； </w:t>
      </w:r>
    </w:p>
    <w:p w14:paraId="75E763C9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4、定位测姿系统软件支持单北斗信号数据解算； </w:t>
      </w:r>
    </w:p>
    <w:p w14:paraId="48EC1792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5、定位测姿系统支持GNSS选星功能，可直接使用或者关闭，也可查看每颗卫星的观测情况，直接使用或者禁用某颗卫星，以提高定位精度，优化计算结果；</w:t>
      </w:r>
    </w:p>
    <w:p w14:paraId="24511821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6、定位测姿系统支持实时、事后提供高精度位置、航向、水平姿态、速度、角速度等信息，且能够在断网环境验证；</w:t>
      </w:r>
    </w:p>
    <w:p w14:paraId="56176688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7、定位测姿系统支持GNSS模糊度单历元解算算法；</w:t>
      </w:r>
    </w:p>
    <w:p w14:paraId="5AC54041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8、定位测姿系统支持其他厂家数据格式的直接读取，无需转换；</w:t>
      </w:r>
    </w:p>
    <w:p w14:paraId="5C3ED714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9、定位测姿系统支持云迹解算；</w:t>
      </w:r>
    </w:p>
    <w:p w14:paraId="71CDEF75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10、定位测姿系统GNSS解算支持位置、速度输出； </w:t>
      </w:r>
    </w:p>
    <w:p w14:paraId="04684981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11、定位测姿系统软件轨迹输出支持软件界面直接自定义格式，不需要写成文件拷贝进软件安装目录； </w:t>
      </w:r>
    </w:p>
    <w:p w14:paraId="2FD87FDA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12、定位测姿系统支持GNSS/INS组合支持正反正三向往返滤波、平滑滤波功能，以支持无需8字或者加减速校正；</w:t>
      </w:r>
    </w:p>
    <w:p w14:paraId="1FADAB8F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13、定位测姿系统支持GNSS/INS组合支持里程计辅助计算功能，即使在GNSS失锁期间，也可连续高精度定位；</w:t>
      </w:r>
    </w:p>
    <w:p w14:paraId="649B4CDC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14、定位测姿系统支持GNSS/INS组合卡尔曼滤波器可以设置动态更新和量测更新时间；</w:t>
      </w:r>
    </w:p>
    <w:p w14:paraId="34E091CD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15、定位测姿系统支持用户互动查询功能，可从点击POS轨迹弹出时间、位置、姿态、速度、解算质量、标准差、星空图等内容；也可通过时间或序号跳转至POS轨迹的对应位置；</w:t>
      </w:r>
    </w:p>
    <w:p w14:paraId="2646454F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16、定位测姿系统具备点击POS轨迹，查看历元星空图、原始数据、定位测姿结果等信息显示功能；</w:t>
      </w:r>
    </w:p>
    <w:p w14:paraId="70DDA763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17、定位测姿系统支持常见的坐标系统，支持用户自定义坐标系统，并提供不同坐标系之间的转换；</w:t>
      </w:r>
    </w:p>
    <w:p w14:paraId="026B69F2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color w:val="FF0000"/>
        </w:rPr>
        <w:t>18、</w:t>
      </w:r>
      <w:r>
        <w:rPr>
          <w:rFonts w:hint="eastAsia" w:ascii="仿宋" w:hAnsi="仿宋" w:eastAsia="仿宋"/>
        </w:rPr>
        <w:t>定位测姿系统支持一套软件授权可供多个计算机同时或非同时使用，一套软件授权可以支持多台设备数据。</w:t>
      </w:r>
    </w:p>
    <w:p w14:paraId="75BE1C4F"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  <w:color w:val="FF0000"/>
        </w:rPr>
        <w:t>19、</w:t>
      </w:r>
      <w:r>
        <w:rPr>
          <w:rFonts w:hint="eastAsia" w:ascii="仿宋" w:hAnsi="仿宋" w:eastAsia="仿宋"/>
        </w:rPr>
        <w:t>定位测姿系统支</w:t>
      </w:r>
      <w:bookmarkStart w:id="0" w:name="_GoBack"/>
      <w:bookmarkEnd w:id="0"/>
      <w:r>
        <w:rPr>
          <w:rFonts w:hint="eastAsia" w:ascii="仿宋" w:hAnsi="仿宋" w:eastAsia="仿宋"/>
        </w:rPr>
        <w:t>持可在导航小车域控部署。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258"/>
    <w:rsid w:val="000F2D9C"/>
    <w:rsid w:val="001A15C5"/>
    <w:rsid w:val="00291E28"/>
    <w:rsid w:val="002A311E"/>
    <w:rsid w:val="002C1DEB"/>
    <w:rsid w:val="002E5E3F"/>
    <w:rsid w:val="00452F34"/>
    <w:rsid w:val="00505258"/>
    <w:rsid w:val="00505CCF"/>
    <w:rsid w:val="00511FCD"/>
    <w:rsid w:val="005121EF"/>
    <w:rsid w:val="00531385"/>
    <w:rsid w:val="005908FC"/>
    <w:rsid w:val="005A106B"/>
    <w:rsid w:val="005D3ADC"/>
    <w:rsid w:val="006B7190"/>
    <w:rsid w:val="00737B60"/>
    <w:rsid w:val="008A2EFD"/>
    <w:rsid w:val="00927D22"/>
    <w:rsid w:val="0095315C"/>
    <w:rsid w:val="00AA0581"/>
    <w:rsid w:val="00B02FC0"/>
    <w:rsid w:val="00B10A57"/>
    <w:rsid w:val="00B10CFC"/>
    <w:rsid w:val="00BE7B68"/>
    <w:rsid w:val="00CD6315"/>
    <w:rsid w:val="00D41BA3"/>
    <w:rsid w:val="00F85EA0"/>
    <w:rsid w:val="00FF12CC"/>
    <w:rsid w:val="1903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uiPriority w:val="1"/>
  </w:style>
  <w:style w:type="table" w:default="1" w:styleId="1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1"/>
    <w:semiHidden/>
    <w:unhideWhenUsed/>
    <w:uiPriority w:val="99"/>
  </w:style>
  <w:style w:type="paragraph" w:styleId="12">
    <w:name w:val="Balloon Text"/>
    <w:basedOn w:val="1"/>
    <w:link w:val="43"/>
    <w:semiHidden/>
    <w:unhideWhenUsed/>
    <w:uiPriority w:val="99"/>
    <w:pPr>
      <w:spacing w:after="0" w:line="240" w:lineRule="auto"/>
    </w:pPr>
    <w:rPr>
      <w:sz w:val="18"/>
      <w:szCs w:val="18"/>
    </w:rPr>
  </w:style>
  <w:style w:type="paragraph" w:styleId="13">
    <w:name w:val="footer"/>
    <w:basedOn w:val="1"/>
    <w:link w:val="40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4">
    <w:name w:val="header"/>
    <w:basedOn w:val="1"/>
    <w:link w:val="3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2"/>
    <w:semiHidden/>
    <w:unhideWhenUsed/>
    <w:uiPriority w:val="99"/>
    <w:rPr>
      <w:b/>
      <w:bCs/>
    </w:rPr>
  </w:style>
  <w:style w:type="character" w:styleId="20">
    <w:name w:val="annotation reference"/>
    <w:basedOn w:val="19"/>
    <w:semiHidden/>
    <w:unhideWhenUsed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6">
    <w:name w:val="标题 6 字符"/>
    <w:basedOn w:val="19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页眉 字符"/>
    <w:basedOn w:val="19"/>
    <w:link w:val="14"/>
    <w:uiPriority w:val="99"/>
    <w:rPr>
      <w:sz w:val="18"/>
      <w:szCs w:val="18"/>
    </w:rPr>
  </w:style>
  <w:style w:type="character" w:customStyle="1" w:styleId="40">
    <w:name w:val="页脚 字符"/>
    <w:basedOn w:val="19"/>
    <w:link w:val="13"/>
    <w:uiPriority w:val="99"/>
    <w:rPr>
      <w:sz w:val="18"/>
      <w:szCs w:val="18"/>
    </w:rPr>
  </w:style>
  <w:style w:type="character" w:customStyle="1" w:styleId="41">
    <w:name w:val="批注文字 字符"/>
    <w:basedOn w:val="19"/>
    <w:link w:val="11"/>
    <w:semiHidden/>
    <w:uiPriority w:val="99"/>
  </w:style>
  <w:style w:type="character" w:customStyle="1" w:styleId="42">
    <w:name w:val="批注主题 字符"/>
    <w:basedOn w:val="41"/>
    <w:link w:val="17"/>
    <w:semiHidden/>
    <w:uiPriority w:val="99"/>
    <w:rPr>
      <w:b/>
      <w:bCs/>
    </w:rPr>
  </w:style>
  <w:style w:type="character" w:customStyle="1" w:styleId="43">
    <w:name w:val="批注框文本 字符"/>
    <w:basedOn w:val="19"/>
    <w:link w:val="1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1409</Words>
  <Characters>1712</Characters>
  <Lines>12</Lines>
  <Paragraphs>3</Paragraphs>
  <TotalTime>223</TotalTime>
  <ScaleCrop>false</ScaleCrop>
  <LinksUpToDate>false</LinksUpToDate>
  <CharactersWithSpaces>1724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2026-03-20T09:18:00Z</dcterms:created>
  <dc:creator>Yan Zhu</dc:creator>
  <cp:lastModifiedBy>张帅磊</cp:lastModifiedBy>
  <dcterms:modified xsi:type="dcterms:W3CDTF">2026-04-13T09:31:07Z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5EDBEF137C404F5F8AD6D08E7B8DC3DE_12</vt:lpwstr>
  </property>
</Properties>
</file>